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9354"/>
      </w:tblGrid>
      <w:tr w:rsidR="0032265E" w:rsidRPr="0032265E" w14:paraId="3CB873F1" w14:textId="77777777" w:rsidTr="0032265E">
        <w:tc>
          <w:tcPr>
            <w:tcW w:w="5000" w:type="pct"/>
            <w:tcBorders>
              <w:top w:val="single" w:sz="2" w:space="0" w:color="auto"/>
              <w:left w:val="single" w:sz="2" w:space="0" w:color="auto"/>
              <w:bottom w:val="single" w:sz="2" w:space="0" w:color="auto"/>
              <w:right w:val="single" w:sz="2" w:space="0" w:color="auto"/>
            </w:tcBorders>
            <w:hideMark/>
          </w:tcPr>
          <w:p w14:paraId="4073FCDD" w14:textId="77777777" w:rsidR="0032265E" w:rsidRPr="0032265E" w:rsidRDefault="0032265E" w:rsidP="0032265E">
            <w:pPr>
              <w:spacing w:before="150" w:after="150" w:line="240" w:lineRule="auto"/>
              <w:ind w:left="450" w:right="450"/>
              <w:jc w:val="center"/>
              <w:rPr>
                <w:rFonts w:ascii="Times New Roman" w:eastAsia="Times New Roman" w:hAnsi="Times New Roman" w:cs="Times New Roman"/>
                <w:sz w:val="24"/>
                <w:szCs w:val="24"/>
              </w:rPr>
            </w:pPr>
            <w:r w:rsidRPr="0032265E">
              <w:rPr>
                <w:rFonts w:ascii="Times New Roman" w:eastAsia="Times New Roman" w:hAnsi="Times New Roman" w:cs="Times New Roman"/>
                <w:noProof/>
                <w:sz w:val="24"/>
                <w:szCs w:val="24"/>
              </w:rPr>
              <w:drawing>
                <wp:inline distT="0" distB="0" distL="0" distR="0" wp14:anchorId="28B6E8C1" wp14:editId="0C0BF1A2">
                  <wp:extent cx="571500" cy="762000"/>
                  <wp:effectExtent l="0" t="0" r="0" b="0"/>
                  <wp:docPr id="9" name="Рисунок 9"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st.rada.gov.ua/images/gerb.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32265E" w:rsidRPr="0032265E" w14:paraId="64B6919D" w14:textId="77777777" w:rsidTr="0032265E">
        <w:tc>
          <w:tcPr>
            <w:tcW w:w="5000" w:type="pct"/>
            <w:tcBorders>
              <w:top w:val="single" w:sz="2" w:space="0" w:color="auto"/>
              <w:left w:val="single" w:sz="2" w:space="0" w:color="auto"/>
              <w:bottom w:val="single" w:sz="2" w:space="0" w:color="auto"/>
              <w:right w:val="single" w:sz="2" w:space="0" w:color="auto"/>
            </w:tcBorders>
            <w:hideMark/>
          </w:tcPr>
          <w:p w14:paraId="0B44AD3C" w14:textId="77777777" w:rsidR="0032265E" w:rsidRPr="0032265E" w:rsidRDefault="0032265E" w:rsidP="0032265E">
            <w:pPr>
              <w:spacing w:before="300" w:after="0" w:line="240" w:lineRule="auto"/>
              <w:ind w:left="450" w:right="450"/>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32"/>
                <w:szCs w:val="32"/>
              </w:rPr>
              <w:t>КАБІНЕТ МІНІСТРІВ УКРАЇНИ</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36"/>
                <w:szCs w:val="36"/>
              </w:rPr>
              <w:t>ПОСТАНОВА</w:t>
            </w:r>
          </w:p>
        </w:tc>
      </w:tr>
      <w:tr w:rsidR="0032265E" w:rsidRPr="0032265E" w14:paraId="6C6B551E" w14:textId="77777777" w:rsidTr="0032265E">
        <w:tc>
          <w:tcPr>
            <w:tcW w:w="5000" w:type="pct"/>
            <w:tcBorders>
              <w:top w:val="single" w:sz="2" w:space="0" w:color="auto"/>
              <w:left w:val="single" w:sz="2" w:space="0" w:color="auto"/>
              <w:bottom w:val="single" w:sz="2" w:space="0" w:color="auto"/>
              <w:right w:val="single" w:sz="2" w:space="0" w:color="auto"/>
            </w:tcBorders>
            <w:hideMark/>
          </w:tcPr>
          <w:p w14:paraId="4AFD246D" w14:textId="77777777" w:rsidR="0032265E" w:rsidRPr="0032265E" w:rsidRDefault="0032265E" w:rsidP="0032265E">
            <w:pPr>
              <w:spacing w:before="150" w:after="150" w:line="240" w:lineRule="auto"/>
              <w:ind w:left="450" w:right="450"/>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від 10 травня 2018 р. № 342</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Київ</w:t>
            </w:r>
          </w:p>
        </w:tc>
      </w:tr>
    </w:tbl>
    <w:p w14:paraId="6CAD52D6" w14:textId="77777777" w:rsidR="0032265E" w:rsidRPr="0032265E" w:rsidRDefault="0032265E" w:rsidP="0032265E">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rPr>
      </w:pPr>
      <w:bookmarkStart w:id="0" w:name="n3"/>
      <w:bookmarkEnd w:id="0"/>
      <w:r w:rsidRPr="0032265E">
        <w:rPr>
          <w:rFonts w:ascii="Times New Roman" w:eastAsia="Times New Roman" w:hAnsi="Times New Roman" w:cs="Times New Roman"/>
          <w:b/>
          <w:bCs/>
          <w:color w:val="333333"/>
          <w:sz w:val="32"/>
          <w:szCs w:val="32"/>
        </w:rPr>
        <w:t>Про затвердження методик розроблення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 а також уніфікованих форм актів, що складаються за результатами проведення планових (позапланових) заходів державного нагляду (контролю)</w:t>
      </w:r>
    </w:p>
    <w:p w14:paraId="504FCE28" w14:textId="77777777" w:rsidR="0032265E" w:rsidRPr="0032265E" w:rsidRDefault="0032265E" w:rsidP="0032265E">
      <w:pPr>
        <w:shd w:val="clear" w:color="auto" w:fill="FFFFFF"/>
        <w:spacing w:before="150" w:after="300" w:line="240" w:lineRule="auto"/>
        <w:ind w:left="450" w:right="450"/>
        <w:rPr>
          <w:rFonts w:ascii="Times New Roman" w:eastAsia="Times New Roman" w:hAnsi="Times New Roman" w:cs="Times New Roman"/>
          <w:color w:val="333333"/>
          <w:sz w:val="24"/>
          <w:szCs w:val="24"/>
        </w:rPr>
      </w:pPr>
      <w:bookmarkStart w:id="1" w:name="n100"/>
      <w:bookmarkEnd w:id="1"/>
      <w:r w:rsidRPr="0032265E">
        <w:rPr>
          <w:rFonts w:ascii="Times New Roman" w:eastAsia="Times New Roman" w:hAnsi="Times New Roman" w:cs="Times New Roman"/>
          <w:color w:val="333333"/>
          <w:sz w:val="24"/>
          <w:szCs w:val="24"/>
        </w:rPr>
        <w:t>{Із змінами, внесеними згідно з Постановою КМ</w:t>
      </w:r>
      <w:r w:rsidRPr="0032265E">
        <w:rPr>
          <w:rFonts w:ascii="Times New Roman" w:eastAsia="Times New Roman" w:hAnsi="Times New Roman" w:cs="Times New Roman"/>
          <w:color w:val="333333"/>
          <w:sz w:val="24"/>
          <w:szCs w:val="24"/>
        </w:rPr>
        <w:br/>
      </w:r>
      <w:hyperlink r:id="rId5" w:anchor="n2" w:tgtFrame="_blank" w:history="1">
        <w:r w:rsidRPr="0032265E">
          <w:rPr>
            <w:rFonts w:ascii="Times New Roman" w:eastAsia="Times New Roman" w:hAnsi="Times New Roman" w:cs="Times New Roman"/>
            <w:color w:val="000099"/>
            <w:sz w:val="24"/>
            <w:szCs w:val="24"/>
            <w:u w:val="single"/>
          </w:rPr>
          <w:t>№ 464 від 06.06.2018</w:t>
        </w:r>
      </w:hyperlink>
      <w:r w:rsidRPr="0032265E">
        <w:rPr>
          <w:rFonts w:ascii="Times New Roman" w:eastAsia="Times New Roman" w:hAnsi="Times New Roman" w:cs="Times New Roman"/>
          <w:color w:val="333333"/>
          <w:sz w:val="24"/>
          <w:szCs w:val="24"/>
        </w:rPr>
        <w:t>}</w:t>
      </w:r>
    </w:p>
    <w:p w14:paraId="20A4BC76"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 w:name="n4"/>
      <w:bookmarkEnd w:id="2"/>
      <w:r w:rsidRPr="0032265E">
        <w:rPr>
          <w:rFonts w:ascii="Times New Roman" w:eastAsia="Times New Roman" w:hAnsi="Times New Roman" w:cs="Times New Roman"/>
          <w:color w:val="333333"/>
          <w:sz w:val="24"/>
          <w:szCs w:val="24"/>
        </w:rPr>
        <w:t>Відповідно до </w:t>
      </w:r>
      <w:hyperlink r:id="rId6" w:anchor="n156" w:tgtFrame="_blank" w:history="1">
        <w:r w:rsidRPr="0032265E">
          <w:rPr>
            <w:rFonts w:ascii="Times New Roman" w:eastAsia="Times New Roman" w:hAnsi="Times New Roman" w:cs="Times New Roman"/>
            <w:color w:val="000099"/>
            <w:sz w:val="24"/>
            <w:szCs w:val="24"/>
            <w:u w:val="single"/>
          </w:rPr>
          <w:t>частини другої</w:t>
        </w:r>
      </w:hyperlink>
      <w:r w:rsidRPr="0032265E">
        <w:rPr>
          <w:rFonts w:ascii="Times New Roman" w:eastAsia="Times New Roman" w:hAnsi="Times New Roman" w:cs="Times New Roman"/>
          <w:color w:val="333333"/>
          <w:sz w:val="24"/>
          <w:szCs w:val="24"/>
        </w:rPr>
        <w:t> статті 5 Закону України “Про основні засади державного нагляду (контролю) у сфері господарської діяльності” Кабінет Міністрів України </w:t>
      </w:r>
      <w:r w:rsidRPr="0032265E">
        <w:rPr>
          <w:rFonts w:ascii="Times New Roman" w:eastAsia="Times New Roman" w:hAnsi="Times New Roman" w:cs="Times New Roman"/>
          <w:b/>
          <w:bCs/>
          <w:color w:val="333333"/>
          <w:spacing w:val="30"/>
          <w:sz w:val="24"/>
          <w:szCs w:val="24"/>
        </w:rPr>
        <w:t>постановляє:</w:t>
      </w:r>
      <w:bookmarkStart w:id="3" w:name="_GoBack"/>
      <w:bookmarkEnd w:id="3"/>
    </w:p>
    <w:p w14:paraId="6ADEABDE"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 w:name="n5"/>
      <w:bookmarkEnd w:id="4"/>
      <w:r w:rsidRPr="0032265E">
        <w:rPr>
          <w:rFonts w:ascii="Times New Roman" w:eastAsia="Times New Roman" w:hAnsi="Times New Roman" w:cs="Times New Roman"/>
          <w:color w:val="333333"/>
          <w:sz w:val="24"/>
          <w:szCs w:val="24"/>
        </w:rPr>
        <w:t>1. Затвердити такі, що додаються:</w:t>
      </w:r>
    </w:p>
    <w:bookmarkStart w:id="5" w:name="n6"/>
    <w:bookmarkEnd w:id="5"/>
    <w:p w14:paraId="7B745BE8"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r w:rsidRPr="0032265E">
        <w:rPr>
          <w:rFonts w:ascii="Times New Roman" w:eastAsia="Times New Roman" w:hAnsi="Times New Roman" w:cs="Times New Roman"/>
          <w:color w:val="333333"/>
          <w:sz w:val="24"/>
          <w:szCs w:val="24"/>
        </w:rPr>
        <w:fldChar w:fldCharType="begin"/>
      </w:r>
      <w:r w:rsidRPr="0032265E">
        <w:rPr>
          <w:rFonts w:ascii="Times New Roman" w:eastAsia="Times New Roman" w:hAnsi="Times New Roman" w:cs="Times New Roman"/>
          <w:color w:val="333333"/>
          <w:sz w:val="24"/>
          <w:szCs w:val="24"/>
        </w:rPr>
        <w:instrText xml:space="preserve"> HYPERLINK "https://zakon.rada.gov.ua/laws/show/342-2018-%D0%BF" \l "n13" </w:instrText>
      </w:r>
      <w:r w:rsidRPr="0032265E">
        <w:rPr>
          <w:rFonts w:ascii="Times New Roman" w:eastAsia="Times New Roman" w:hAnsi="Times New Roman" w:cs="Times New Roman"/>
          <w:color w:val="333333"/>
          <w:sz w:val="24"/>
          <w:szCs w:val="24"/>
        </w:rPr>
        <w:fldChar w:fldCharType="separate"/>
      </w:r>
      <w:r w:rsidRPr="0032265E">
        <w:rPr>
          <w:rFonts w:ascii="Times New Roman" w:eastAsia="Times New Roman" w:hAnsi="Times New Roman" w:cs="Times New Roman"/>
          <w:color w:val="006600"/>
          <w:sz w:val="24"/>
          <w:szCs w:val="24"/>
          <w:u w:val="single"/>
        </w:rPr>
        <w:t>Методику розроблення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w:t>
      </w:r>
      <w:r w:rsidRPr="0032265E">
        <w:rPr>
          <w:rFonts w:ascii="Times New Roman" w:eastAsia="Times New Roman" w:hAnsi="Times New Roman" w:cs="Times New Roman"/>
          <w:color w:val="333333"/>
          <w:sz w:val="24"/>
          <w:szCs w:val="24"/>
        </w:rPr>
        <w:fldChar w:fldCharType="end"/>
      </w:r>
      <w:r w:rsidRPr="0032265E">
        <w:rPr>
          <w:rFonts w:ascii="Times New Roman" w:eastAsia="Times New Roman" w:hAnsi="Times New Roman" w:cs="Times New Roman"/>
          <w:color w:val="333333"/>
          <w:sz w:val="24"/>
          <w:szCs w:val="24"/>
        </w:rPr>
        <w:t>;</w:t>
      </w:r>
    </w:p>
    <w:bookmarkStart w:id="6" w:name="n7"/>
    <w:bookmarkEnd w:id="6"/>
    <w:p w14:paraId="39F6C1A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r w:rsidRPr="0032265E">
        <w:rPr>
          <w:rFonts w:ascii="Times New Roman" w:eastAsia="Times New Roman" w:hAnsi="Times New Roman" w:cs="Times New Roman"/>
          <w:color w:val="333333"/>
          <w:sz w:val="24"/>
          <w:szCs w:val="24"/>
        </w:rPr>
        <w:fldChar w:fldCharType="begin"/>
      </w:r>
      <w:r w:rsidRPr="0032265E">
        <w:rPr>
          <w:rFonts w:ascii="Times New Roman" w:eastAsia="Times New Roman" w:hAnsi="Times New Roman" w:cs="Times New Roman"/>
          <w:color w:val="333333"/>
          <w:sz w:val="24"/>
          <w:szCs w:val="24"/>
        </w:rPr>
        <w:instrText xml:space="preserve"> HYPERLINK "https://zakon.rada.gov.ua/laws/show/342-2018-%D0%BF" \l "n62" </w:instrText>
      </w:r>
      <w:r w:rsidRPr="0032265E">
        <w:rPr>
          <w:rFonts w:ascii="Times New Roman" w:eastAsia="Times New Roman" w:hAnsi="Times New Roman" w:cs="Times New Roman"/>
          <w:color w:val="333333"/>
          <w:sz w:val="24"/>
          <w:szCs w:val="24"/>
        </w:rPr>
        <w:fldChar w:fldCharType="separate"/>
      </w:r>
      <w:r w:rsidRPr="0032265E">
        <w:rPr>
          <w:rFonts w:ascii="Times New Roman" w:eastAsia="Times New Roman" w:hAnsi="Times New Roman" w:cs="Times New Roman"/>
          <w:color w:val="006600"/>
          <w:sz w:val="24"/>
          <w:szCs w:val="24"/>
          <w:u w:val="single"/>
        </w:rPr>
        <w:t>Методику розроблення уніфікованих форм актів, що складаються за результатами проведення планових (позапланових) заходів державного нагляду (контролю)</w:t>
      </w:r>
      <w:r w:rsidRPr="0032265E">
        <w:rPr>
          <w:rFonts w:ascii="Times New Roman" w:eastAsia="Times New Roman" w:hAnsi="Times New Roman" w:cs="Times New Roman"/>
          <w:color w:val="333333"/>
          <w:sz w:val="24"/>
          <w:szCs w:val="24"/>
        </w:rPr>
        <w:fldChar w:fldCharType="end"/>
      </w:r>
      <w:r w:rsidRPr="0032265E">
        <w:rPr>
          <w:rFonts w:ascii="Times New Roman" w:eastAsia="Times New Roman" w:hAnsi="Times New Roman" w:cs="Times New Roman"/>
          <w:color w:val="333333"/>
          <w:sz w:val="24"/>
          <w:szCs w:val="24"/>
        </w:rPr>
        <w:t>.</w:t>
      </w:r>
    </w:p>
    <w:p w14:paraId="4A6FEC93"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 w:name="n102"/>
      <w:bookmarkEnd w:id="7"/>
      <w:r w:rsidRPr="0032265E">
        <w:rPr>
          <w:rFonts w:ascii="Times New Roman" w:eastAsia="Times New Roman" w:hAnsi="Times New Roman" w:cs="Times New Roman"/>
          <w:color w:val="333333"/>
          <w:sz w:val="24"/>
          <w:szCs w:val="24"/>
        </w:rPr>
        <w:t>1</w:t>
      </w:r>
      <w:r w:rsidRPr="0032265E">
        <w:rPr>
          <w:rFonts w:ascii="Times New Roman" w:eastAsia="Times New Roman" w:hAnsi="Times New Roman" w:cs="Times New Roman"/>
          <w:b/>
          <w:bCs/>
          <w:color w:val="333333"/>
          <w:sz w:val="2"/>
          <w:szCs w:val="2"/>
          <w:vertAlign w:val="superscript"/>
        </w:rPr>
        <w:t>-</w:t>
      </w:r>
      <w:r w:rsidRPr="0032265E">
        <w:rPr>
          <w:rFonts w:ascii="Times New Roman" w:eastAsia="Times New Roman" w:hAnsi="Times New Roman" w:cs="Times New Roman"/>
          <w:b/>
          <w:bCs/>
          <w:color w:val="333333"/>
          <w:sz w:val="16"/>
          <w:szCs w:val="16"/>
          <w:vertAlign w:val="superscript"/>
        </w:rPr>
        <w:t>1</w:t>
      </w:r>
      <w:r w:rsidRPr="0032265E">
        <w:rPr>
          <w:rFonts w:ascii="Times New Roman" w:eastAsia="Times New Roman" w:hAnsi="Times New Roman" w:cs="Times New Roman"/>
          <w:color w:val="333333"/>
          <w:sz w:val="24"/>
          <w:szCs w:val="24"/>
        </w:rPr>
        <w:t>. Установити, що положення затверджених цією постановою методик не застосовуються до 1 вересня 2018 року.</w:t>
      </w:r>
    </w:p>
    <w:p w14:paraId="42D39320"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8" w:name="n101"/>
      <w:bookmarkEnd w:id="8"/>
      <w:r w:rsidRPr="0032265E">
        <w:rPr>
          <w:rFonts w:ascii="Times New Roman" w:eastAsia="Times New Roman" w:hAnsi="Times New Roman" w:cs="Times New Roman"/>
          <w:i/>
          <w:iCs/>
          <w:color w:val="333333"/>
          <w:sz w:val="24"/>
          <w:szCs w:val="24"/>
        </w:rPr>
        <w:t>{Постанову доповнено пунктом 1</w:t>
      </w:r>
      <w:r w:rsidRPr="0032265E">
        <w:rPr>
          <w:rFonts w:ascii="Times New Roman" w:eastAsia="Times New Roman" w:hAnsi="Times New Roman" w:cs="Times New Roman"/>
          <w:b/>
          <w:bCs/>
          <w:color w:val="333333"/>
          <w:sz w:val="2"/>
          <w:szCs w:val="2"/>
          <w:vertAlign w:val="superscript"/>
        </w:rPr>
        <w:t>-</w:t>
      </w:r>
      <w:r w:rsidRPr="0032265E">
        <w:rPr>
          <w:rFonts w:ascii="Times New Roman" w:eastAsia="Times New Roman" w:hAnsi="Times New Roman" w:cs="Times New Roman"/>
          <w:b/>
          <w:bCs/>
          <w:color w:val="333333"/>
          <w:sz w:val="16"/>
          <w:szCs w:val="16"/>
          <w:vertAlign w:val="superscript"/>
        </w:rPr>
        <w:t>1</w:t>
      </w:r>
      <w:r w:rsidRPr="0032265E">
        <w:rPr>
          <w:rFonts w:ascii="Times New Roman" w:eastAsia="Times New Roman" w:hAnsi="Times New Roman" w:cs="Times New Roman"/>
          <w:i/>
          <w:iCs/>
          <w:color w:val="333333"/>
          <w:sz w:val="24"/>
          <w:szCs w:val="24"/>
        </w:rPr>
        <w:t> згідно з Постановою КМ </w:t>
      </w:r>
      <w:hyperlink r:id="rId7" w:anchor="n5" w:tgtFrame="_blank" w:history="1">
        <w:r w:rsidRPr="0032265E">
          <w:rPr>
            <w:rFonts w:ascii="Times New Roman" w:eastAsia="Times New Roman" w:hAnsi="Times New Roman" w:cs="Times New Roman"/>
            <w:i/>
            <w:iCs/>
            <w:color w:val="000099"/>
            <w:sz w:val="24"/>
            <w:szCs w:val="24"/>
            <w:u w:val="single"/>
          </w:rPr>
          <w:t>№ 464 від 06.06.2018</w:t>
        </w:r>
      </w:hyperlink>
      <w:r w:rsidRPr="0032265E">
        <w:rPr>
          <w:rFonts w:ascii="Times New Roman" w:eastAsia="Times New Roman" w:hAnsi="Times New Roman" w:cs="Times New Roman"/>
          <w:i/>
          <w:iCs/>
          <w:color w:val="333333"/>
          <w:sz w:val="24"/>
          <w:szCs w:val="24"/>
        </w:rPr>
        <w:t>}</w:t>
      </w:r>
    </w:p>
    <w:p w14:paraId="49C016A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9" w:name="n8"/>
      <w:bookmarkEnd w:id="9"/>
      <w:r w:rsidRPr="0032265E">
        <w:rPr>
          <w:rFonts w:ascii="Times New Roman" w:eastAsia="Times New Roman" w:hAnsi="Times New Roman" w:cs="Times New Roman"/>
          <w:color w:val="333333"/>
          <w:sz w:val="24"/>
          <w:szCs w:val="24"/>
        </w:rPr>
        <w:t>2. Визнати такими, що втратили чинність, постанови Кабінету Міністрів України згідно з </w:t>
      </w:r>
      <w:hyperlink r:id="rId8" w:anchor="n87" w:history="1">
        <w:r w:rsidRPr="0032265E">
          <w:rPr>
            <w:rFonts w:ascii="Times New Roman" w:eastAsia="Times New Roman" w:hAnsi="Times New Roman" w:cs="Times New Roman"/>
            <w:color w:val="006600"/>
            <w:sz w:val="24"/>
            <w:szCs w:val="24"/>
            <w:u w:val="single"/>
          </w:rPr>
          <w:t>переліком</w:t>
        </w:r>
      </w:hyperlink>
      <w:r w:rsidRPr="0032265E">
        <w:rPr>
          <w:rFonts w:ascii="Times New Roman" w:eastAsia="Times New Roman" w:hAnsi="Times New Roman" w:cs="Times New Roman"/>
          <w:color w:val="333333"/>
          <w:sz w:val="24"/>
          <w:szCs w:val="24"/>
        </w:rPr>
        <w:t>, що додається.</w:t>
      </w:r>
    </w:p>
    <w:p w14:paraId="6931F150"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10" w:name="n9"/>
      <w:bookmarkEnd w:id="10"/>
      <w:r w:rsidRPr="0032265E">
        <w:rPr>
          <w:rFonts w:ascii="Times New Roman" w:eastAsia="Times New Roman" w:hAnsi="Times New Roman" w:cs="Times New Roman"/>
          <w:color w:val="333333"/>
          <w:sz w:val="24"/>
          <w:szCs w:val="24"/>
        </w:rPr>
        <w:t>3. Ця постанова набирає чинності через місяць з дня її опублікування.</w:t>
      </w:r>
    </w:p>
    <w:tbl>
      <w:tblPr>
        <w:tblW w:w="5000" w:type="pct"/>
        <w:tblCellMar>
          <w:left w:w="0" w:type="dxa"/>
          <w:right w:w="0" w:type="dxa"/>
        </w:tblCellMar>
        <w:tblLook w:val="04A0" w:firstRow="1" w:lastRow="0" w:firstColumn="1" w:lastColumn="0" w:noHBand="0" w:noVBand="1"/>
      </w:tblPr>
      <w:tblGrid>
        <w:gridCol w:w="2806"/>
        <w:gridCol w:w="6548"/>
      </w:tblGrid>
      <w:tr w:rsidR="0032265E" w:rsidRPr="0032265E" w14:paraId="12F4C709" w14:textId="77777777" w:rsidTr="0032265E">
        <w:tc>
          <w:tcPr>
            <w:tcW w:w="1500" w:type="pct"/>
            <w:tcBorders>
              <w:top w:val="single" w:sz="2" w:space="0" w:color="auto"/>
              <w:left w:val="single" w:sz="2" w:space="0" w:color="auto"/>
              <w:bottom w:val="single" w:sz="2" w:space="0" w:color="auto"/>
              <w:right w:val="single" w:sz="2" w:space="0" w:color="auto"/>
            </w:tcBorders>
            <w:hideMark/>
          </w:tcPr>
          <w:p w14:paraId="3C037270" w14:textId="77777777" w:rsidR="0032265E" w:rsidRPr="0032265E" w:rsidRDefault="0032265E" w:rsidP="0032265E">
            <w:pPr>
              <w:spacing w:before="300" w:after="150" w:line="240" w:lineRule="auto"/>
              <w:jc w:val="center"/>
              <w:rPr>
                <w:rFonts w:ascii="Times New Roman" w:eastAsia="Times New Roman" w:hAnsi="Times New Roman" w:cs="Times New Roman"/>
                <w:sz w:val="24"/>
                <w:szCs w:val="24"/>
              </w:rPr>
            </w:pPr>
            <w:bookmarkStart w:id="11" w:name="n10"/>
            <w:bookmarkEnd w:id="11"/>
            <w:r w:rsidRPr="0032265E">
              <w:rPr>
                <w:rFonts w:ascii="Times New Roman" w:eastAsia="Times New Roman" w:hAnsi="Times New Roman" w:cs="Times New Roman"/>
                <w:b/>
                <w:bCs/>
                <w:sz w:val="24"/>
                <w:szCs w:val="24"/>
              </w:rPr>
              <w:lastRenderedPageBreak/>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14:paraId="6B4A0D80" w14:textId="77777777" w:rsidR="0032265E" w:rsidRPr="0032265E" w:rsidRDefault="0032265E" w:rsidP="0032265E">
            <w:pPr>
              <w:spacing w:before="300" w:after="0" w:line="240" w:lineRule="auto"/>
              <w:jc w:val="right"/>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В.ГРОЙСМАН</w:t>
            </w:r>
          </w:p>
        </w:tc>
      </w:tr>
      <w:tr w:rsidR="0032265E" w:rsidRPr="0032265E" w14:paraId="43A4339A" w14:textId="77777777" w:rsidTr="0032265E">
        <w:tc>
          <w:tcPr>
            <w:tcW w:w="0" w:type="auto"/>
            <w:tcBorders>
              <w:top w:val="single" w:sz="2" w:space="0" w:color="auto"/>
              <w:left w:val="single" w:sz="2" w:space="0" w:color="auto"/>
              <w:bottom w:val="single" w:sz="2" w:space="0" w:color="auto"/>
              <w:right w:val="single" w:sz="2" w:space="0" w:color="auto"/>
            </w:tcBorders>
            <w:hideMark/>
          </w:tcPr>
          <w:p w14:paraId="53846E86" w14:textId="77777777" w:rsidR="0032265E" w:rsidRPr="0032265E" w:rsidRDefault="0032265E" w:rsidP="0032265E">
            <w:pPr>
              <w:spacing w:before="30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Інд. 67</w:t>
            </w:r>
          </w:p>
        </w:tc>
        <w:tc>
          <w:tcPr>
            <w:tcW w:w="0" w:type="auto"/>
            <w:tcBorders>
              <w:top w:val="single" w:sz="2" w:space="0" w:color="auto"/>
              <w:left w:val="single" w:sz="2" w:space="0" w:color="auto"/>
              <w:bottom w:val="single" w:sz="2" w:space="0" w:color="auto"/>
              <w:right w:val="single" w:sz="2" w:space="0" w:color="auto"/>
            </w:tcBorders>
            <w:hideMark/>
          </w:tcPr>
          <w:p w14:paraId="1A90E4BF" w14:textId="77777777" w:rsidR="0032265E" w:rsidRPr="0032265E" w:rsidRDefault="0032265E" w:rsidP="0032265E">
            <w:pPr>
              <w:spacing w:before="300" w:after="0" w:line="240" w:lineRule="auto"/>
              <w:jc w:val="right"/>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br/>
            </w:r>
          </w:p>
        </w:tc>
      </w:tr>
    </w:tbl>
    <w:p w14:paraId="0D5C67FA"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12" w:name="n91"/>
      <w:bookmarkEnd w:id="12"/>
      <w:r w:rsidRPr="0032265E">
        <w:rPr>
          <w:rFonts w:ascii="Times New Roman" w:eastAsia="Times New Roman" w:hAnsi="Times New Roman" w:cs="Times New Roman"/>
          <w:sz w:val="24"/>
          <w:szCs w:val="24"/>
        </w:rPr>
        <w:pict w14:anchorId="06443BEB">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2"/>
        <w:gridCol w:w="5612"/>
      </w:tblGrid>
      <w:tr w:rsidR="0032265E" w:rsidRPr="0032265E" w14:paraId="4DE9F8DA"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2D0D8AC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13" w:name="n11"/>
            <w:bookmarkEnd w:id="13"/>
            <w:r w:rsidRPr="0032265E">
              <w:rPr>
                <w:rFonts w:ascii="Times New Roman" w:eastAsia="Times New Roman" w:hAnsi="Times New Roman" w:cs="Times New Roman"/>
                <w:b/>
                <w:bCs/>
                <w:sz w:val="24"/>
                <w:szCs w:val="24"/>
              </w:rPr>
              <w:br/>
            </w:r>
          </w:p>
        </w:tc>
        <w:tc>
          <w:tcPr>
            <w:tcW w:w="3000" w:type="pct"/>
            <w:tcBorders>
              <w:top w:val="single" w:sz="2" w:space="0" w:color="auto"/>
              <w:left w:val="single" w:sz="2" w:space="0" w:color="auto"/>
              <w:bottom w:val="single" w:sz="2" w:space="0" w:color="auto"/>
              <w:right w:val="single" w:sz="2" w:space="0" w:color="auto"/>
            </w:tcBorders>
            <w:hideMark/>
          </w:tcPr>
          <w:p w14:paraId="7B92E862"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ЗАТВЕРДЖЕНО</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постановою Кабінету Міністрів України</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від 10 травня 2018 р. № 342</w:t>
            </w:r>
          </w:p>
        </w:tc>
      </w:tr>
    </w:tbl>
    <w:p w14:paraId="23FCA9C6" w14:textId="77777777" w:rsidR="0032265E" w:rsidRPr="0032265E" w:rsidRDefault="0032265E" w:rsidP="0032265E">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rPr>
      </w:pPr>
      <w:bookmarkStart w:id="14" w:name="n13"/>
      <w:bookmarkEnd w:id="14"/>
      <w:r w:rsidRPr="0032265E">
        <w:rPr>
          <w:rFonts w:ascii="Times New Roman" w:eastAsia="Times New Roman" w:hAnsi="Times New Roman" w:cs="Times New Roman"/>
          <w:b/>
          <w:bCs/>
          <w:color w:val="333333"/>
          <w:sz w:val="32"/>
          <w:szCs w:val="32"/>
        </w:rPr>
        <w:t>МЕТОДИКА</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32"/>
          <w:szCs w:val="32"/>
        </w:rPr>
        <w:t>розроблення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w:t>
      </w:r>
    </w:p>
    <w:p w14:paraId="2F09DDF5"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15" w:name="n14"/>
      <w:bookmarkEnd w:id="15"/>
      <w:r w:rsidRPr="0032265E">
        <w:rPr>
          <w:rFonts w:ascii="Times New Roman" w:eastAsia="Times New Roman" w:hAnsi="Times New Roman" w:cs="Times New Roman"/>
          <w:b/>
          <w:bCs/>
          <w:color w:val="333333"/>
          <w:sz w:val="28"/>
          <w:szCs w:val="28"/>
        </w:rPr>
        <w:t>Загальні положення</w:t>
      </w:r>
    </w:p>
    <w:p w14:paraId="2894CF5B"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16" w:name="n15"/>
      <w:bookmarkEnd w:id="16"/>
      <w:r w:rsidRPr="0032265E">
        <w:rPr>
          <w:rFonts w:ascii="Times New Roman" w:eastAsia="Times New Roman" w:hAnsi="Times New Roman" w:cs="Times New Roman"/>
          <w:color w:val="333333"/>
          <w:sz w:val="24"/>
          <w:szCs w:val="24"/>
        </w:rPr>
        <w:t>1. Ця Методика встановлює єдиний підхід до розроблення органами державного нагляду (контролю)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 (далі - критерії).</w:t>
      </w:r>
    </w:p>
    <w:p w14:paraId="6FE3973E"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17" w:name="n16"/>
      <w:bookmarkEnd w:id="17"/>
      <w:r w:rsidRPr="0032265E">
        <w:rPr>
          <w:rFonts w:ascii="Times New Roman" w:eastAsia="Times New Roman" w:hAnsi="Times New Roman" w:cs="Times New Roman"/>
          <w:color w:val="333333"/>
          <w:sz w:val="24"/>
          <w:szCs w:val="24"/>
        </w:rPr>
        <w:t>2. Критерії розробляються органом державного нагляду (контролю) у віднесеній до його відання сфері відповідно до вимог законодавства з урахуванням цієї Методики, даних про настання негативних наслідків від провадження господарської діяльності суб’єктів господарювання, пропозицій громадських об’єднань та затверджуються Кабінетом Міністрів України.</w:t>
      </w:r>
    </w:p>
    <w:p w14:paraId="092E26C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18" w:name="n17"/>
      <w:bookmarkEnd w:id="18"/>
      <w:r w:rsidRPr="0032265E">
        <w:rPr>
          <w:rFonts w:ascii="Times New Roman" w:eastAsia="Times New Roman" w:hAnsi="Times New Roman" w:cs="Times New Roman"/>
          <w:color w:val="333333"/>
          <w:sz w:val="24"/>
          <w:szCs w:val="24"/>
        </w:rPr>
        <w:t>У разі коли органами, уповноваженими здійснювати державний нагляд (контроль) у відповідних сферах, є місцеві держадміністрації та/або органи місцевого самоврядування, критерії розробляються центральними органами виконавчої влади, що забезпечують формування державної політики у відповідних сферах.</w:t>
      </w:r>
    </w:p>
    <w:p w14:paraId="4A926082"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19" w:name="n18"/>
      <w:bookmarkEnd w:id="19"/>
      <w:r w:rsidRPr="0032265E">
        <w:rPr>
          <w:rFonts w:ascii="Times New Roman" w:eastAsia="Times New Roman" w:hAnsi="Times New Roman" w:cs="Times New Roman"/>
          <w:color w:val="333333"/>
          <w:sz w:val="24"/>
          <w:szCs w:val="24"/>
        </w:rPr>
        <w:t>3. Критерії підлягають перегляду не рідше ніж один раз на три роки.</w:t>
      </w:r>
    </w:p>
    <w:p w14:paraId="6C8D2840"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20" w:name="n19"/>
      <w:bookmarkEnd w:id="20"/>
      <w:r w:rsidRPr="0032265E">
        <w:rPr>
          <w:rFonts w:ascii="Times New Roman" w:eastAsia="Times New Roman" w:hAnsi="Times New Roman" w:cs="Times New Roman"/>
          <w:b/>
          <w:bCs/>
          <w:color w:val="333333"/>
          <w:sz w:val="28"/>
          <w:szCs w:val="28"/>
        </w:rPr>
        <w:t>Вимоги щодо розроблення критеріїв</w:t>
      </w:r>
    </w:p>
    <w:p w14:paraId="7E4E14F5"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1" w:name="n20"/>
      <w:bookmarkEnd w:id="21"/>
      <w:r w:rsidRPr="0032265E">
        <w:rPr>
          <w:rFonts w:ascii="Times New Roman" w:eastAsia="Times New Roman" w:hAnsi="Times New Roman" w:cs="Times New Roman"/>
          <w:color w:val="333333"/>
          <w:sz w:val="24"/>
          <w:szCs w:val="24"/>
        </w:rPr>
        <w:t>4. Під час розроблення критеріїв проводиться аналіз:</w:t>
      </w:r>
    </w:p>
    <w:p w14:paraId="148708FF"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2" w:name="n21"/>
      <w:bookmarkEnd w:id="22"/>
      <w:r w:rsidRPr="0032265E">
        <w:rPr>
          <w:rFonts w:ascii="Times New Roman" w:eastAsia="Times New Roman" w:hAnsi="Times New Roman" w:cs="Times New Roman"/>
          <w:color w:val="333333"/>
          <w:sz w:val="24"/>
          <w:szCs w:val="24"/>
        </w:rPr>
        <w:t>1) кількості суб’єктів господарювання, що підлягають державному нагляду (контролю) у відповідній сфері;</w:t>
      </w:r>
    </w:p>
    <w:p w14:paraId="1B70DA35"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3" w:name="n22"/>
      <w:bookmarkEnd w:id="23"/>
      <w:r w:rsidRPr="0032265E">
        <w:rPr>
          <w:rFonts w:ascii="Times New Roman" w:eastAsia="Times New Roman" w:hAnsi="Times New Roman" w:cs="Times New Roman"/>
          <w:color w:val="333333"/>
          <w:sz w:val="24"/>
          <w:szCs w:val="24"/>
        </w:rPr>
        <w:t xml:space="preserve">2) кількості порушень суб’єктами господарювання вимог законодавства у відповідній сфері, виявлених органом державного нагляду (контролю), за період не менш як п’ять років </w:t>
      </w:r>
      <w:r w:rsidRPr="0032265E">
        <w:rPr>
          <w:rFonts w:ascii="Times New Roman" w:eastAsia="Times New Roman" w:hAnsi="Times New Roman" w:cs="Times New Roman"/>
          <w:color w:val="333333"/>
          <w:sz w:val="24"/>
          <w:szCs w:val="24"/>
        </w:rPr>
        <w:lastRenderedPageBreak/>
        <w:t>(окремо щодо кожного року, виду правопорушення, планових і позапланових заходів державного нагляду (контролю), суб’єктів господарювання високого, середнього, незначного ступеня ризику);</w:t>
      </w:r>
    </w:p>
    <w:p w14:paraId="536FE63D"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4" w:name="n23"/>
      <w:bookmarkEnd w:id="24"/>
      <w:r w:rsidRPr="0032265E">
        <w:rPr>
          <w:rFonts w:ascii="Times New Roman" w:eastAsia="Times New Roman" w:hAnsi="Times New Roman" w:cs="Times New Roman"/>
          <w:color w:val="333333"/>
          <w:sz w:val="24"/>
          <w:szCs w:val="24"/>
        </w:rPr>
        <w:t>3) випадків настання негативних наслідків від провадження господарської діяльності за період не менш як п’ять років, їх масштабу, причин (умов) та кількості (загальної, а також окремо щодо кожного року, масштабу наслідків, суб’єктів господарювання високого, середнього, незначного ступеня ризику);</w:t>
      </w:r>
    </w:p>
    <w:p w14:paraId="06E09AD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5" w:name="n24"/>
      <w:bookmarkEnd w:id="25"/>
      <w:r w:rsidRPr="0032265E">
        <w:rPr>
          <w:rFonts w:ascii="Times New Roman" w:eastAsia="Times New Roman" w:hAnsi="Times New Roman" w:cs="Times New Roman"/>
          <w:color w:val="333333"/>
          <w:sz w:val="24"/>
          <w:szCs w:val="24"/>
        </w:rPr>
        <w:t>4) кількісних та якісних показників (характеристик) господарської діяльності суб’єктів господарювання у відповідній сфері, що вказують на можливість настання негативних наслідків від провадження господарської діяльності (масштабу, виду та сфери господарської діяльності, виробничого потенціалу та виробничих ресурсів, кількості працівників, технічного оснащення, технології та організації виробництва, обсягу випуску продукції, виконання робіт, надання послуг, характеристик об’єктів, на яких провадиться господарська діяльність, кількості об’єктів підвищеної небезпеки, машин, механізмів, устаткування та робіт підвищеної небезпеки, інших факторів, що можуть призвести до настання негативних наслідків від провадження господарської діяльності та можливого розміру втрат у разі їх настання).</w:t>
      </w:r>
    </w:p>
    <w:p w14:paraId="71A0D410"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6" w:name="n25"/>
      <w:bookmarkEnd w:id="26"/>
      <w:r w:rsidRPr="0032265E">
        <w:rPr>
          <w:rFonts w:ascii="Times New Roman" w:eastAsia="Times New Roman" w:hAnsi="Times New Roman" w:cs="Times New Roman"/>
          <w:color w:val="333333"/>
          <w:sz w:val="24"/>
          <w:szCs w:val="24"/>
        </w:rPr>
        <w:t>Критерії визначаються на основі виявлених зв’язків між негативними наслідками (з урахуванням їх масштабу, причин (умов) та кількості) та відповідними кількісними і якісними показниками (характеристиками) господарської діяльності суб’єктів господарювання.</w:t>
      </w:r>
    </w:p>
    <w:p w14:paraId="41F45F3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7" w:name="n26"/>
      <w:bookmarkEnd w:id="27"/>
      <w:r w:rsidRPr="0032265E">
        <w:rPr>
          <w:rFonts w:ascii="Times New Roman" w:eastAsia="Times New Roman" w:hAnsi="Times New Roman" w:cs="Times New Roman"/>
          <w:color w:val="333333"/>
          <w:sz w:val="24"/>
          <w:szCs w:val="24"/>
        </w:rPr>
        <w:t>5. Під час визначення критеріїв враховується стан дотримання суб’єктами господарювання вимог законодавства у відповідній сфері.</w:t>
      </w:r>
    </w:p>
    <w:p w14:paraId="56F5FFD2"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8" w:name="n27"/>
      <w:bookmarkEnd w:id="28"/>
      <w:r w:rsidRPr="0032265E">
        <w:rPr>
          <w:rFonts w:ascii="Times New Roman" w:eastAsia="Times New Roman" w:hAnsi="Times New Roman" w:cs="Times New Roman"/>
          <w:color w:val="333333"/>
          <w:sz w:val="24"/>
          <w:szCs w:val="24"/>
        </w:rPr>
        <w:t>6. Під час розроблення критеріїв визначаються:</w:t>
      </w:r>
    </w:p>
    <w:p w14:paraId="36640DA1"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29" w:name="n28"/>
      <w:bookmarkEnd w:id="29"/>
      <w:r w:rsidRPr="0032265E">
        <w:rPr>
          <w:rFonts w:ascii="Times New Roman" w:eastAsia="Times New Roman" w:hAnsi="Times New Roman" w:cs="Times New Roman"/>
          <w:color w:val="333333"/>
          <w:sz w:val="24"/>
          <w:szCs w:val="24"/>
        </w:rPr>
        <w:t>1) сфера державного нагляду (контролю), у якій застосовуються критерії, відповідні цілі державного нагляду (контролю) та оцінка ризиків настання негативних наслідків від провадження господарської діяльності;</w:t>
      </w:r>
    </w:p>
    <w:p w14:paraId="376BBA5F"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0" w:name="n29"/>
      <w:bookmarkEnd w:id="30"/>
      <w:r w:rsidRPr="0032265E">
        <w:rPr>
          <w:rFonts w:ascii="Times New Roman" w:eastAsia="Times New Roman" w:hAnsi="Times New Roman" w:cs="Times New Roman"/>
          <w:color w:val="333333"/>
          <w:sz w:val="24"/>
          <w:szCs w:val="24"/>
        </w:rPr>
        <w:t>2) найменування органу державного нагляду (контролю), уповноваженого здійснювати заходи державного нагляду (контролю) у відповідній сфері;</w:t>
      </w:r>
    </w:p>
    <w:p w14:paraId="3AD9A308"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1" w:name="n30"/>
      <w:bookmarkEnd w:id="31"/>
      <w:r w:rsidRPr="0032265E">
        <w:rPr>
          <w:rFonts w:ascii="Times New Roman" w:eastAsia="Times New Roman" w:hAnsi="Times New Roman" w:cs="Times New Roman"/>
          <w:color w:val="333333"/>
          <w:sz w:val="24"/>
          <w:szCs w:val="24"/>
        </w:rPr>
        <w:t>3) вичерпний перелік критеріїв;</w:t>
      </w:r>
    </w:p>
    <w:p w14:paraId="4A503F8D"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2" w:name="n31"/>
      <w:bookmarkEnd w:id="32"/>
      <w:r w:rsidRPr="0032265E">
        <w:rPr>
          <w:rFonts w:ascii="Times New Roman" w:eastAsia="Times New Roman" w:hAnsi="Times New Roman" w:cs="Times New Roman"/>
          <w:color w:val="333333"/>
          <w:sz w:val="24"/>
          <w:szCs w:val="24"/>
        </w:rPr>
        <w:t>4) чіткі, зрозумілі та вимірювані показники критеріїв, за якими визначається ступінь ризику;</w:t>
      </w:r>
    </w:p>
    <w:p w14:paraId="03A2CF4E"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3" w:name="n32"/>
      <w:bookmarkEnd w:id="33"/>
      <w:r w:rsidRPr="0032265E">
        <w:rPr>
          <w:rFonts w:ascii="Times New Roman" w:eastAsia="Times New Roman" w:hAnsi="Times New Roman" w:cs="Times New Roman"/>
          <w:color w:val="333333"/>
          <w:sz w:val="24"/>
          <w:szCs w:val="24"/>
        </w:rPr>
        <w:t>5) кількість балів, що нараховується за кожним показником критеріїв;</w:t>
      </w:r>
    </w:p>
    <w:p w14:paraId="17F796F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4" w:name="n33"/>
      <w:bookmarkEnd w:id="34"/>
      <w:r w:rsidRPr="0032265E">
        <w:rPr>
          <w:rFonts w:ascii="Times New Roman" w:eastAsia="Times New Roman" w:hAnsi="Times New Roman" w:cs="Times New Roman"/>
          <w:color w:val="333333"/>
          <w:sz w:val="24"/>
          <w:szCs w:val="24"/>
        </w:rPr>
        <w:t>6) шкала балів із зазначенням діапазонів балів, які відповідають високому (від 41 до 100 балів), середньому (від 21 до 40 балів) та незначному (від 0 до 20 балів) ступеню ризику;</w:t>
      </w:r>
    </w:p>
    <w:p w14:paraId="10673AFB"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5" w:name="n34"/>
      <w:bookmarkEnd w:id="35"/>
      <w:r w:rsidRPr="0032265E">
        <w:rPr>
          <w:rFonts w:ascii="Times New Roman" w:eastAsia="Times New Roman" w:hAnsi="Times New Roman" w:cs="Times New Roman"/>
          <w:color w:val="333333"/>
          <w:sz w:val="24"/>
          <w:szCs w:val="24"/>
        </w:rPr>
        <w:t>7) положення щодо періодичності проведення планових заходів державного нагляду (контролю).</w:t>
      </w:r>
    </w:p>
    <w:p w14:paraId="634E59F7"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6" w:name="n35"/>
      <w:bookmarkEnd w:id="36"/>
      <w:r w:rsidRPr="0032265E">
        <w:rPr>
          <w:rFonts w:ascii="Times New Roman" w:eastAsia="Times New Roman" w:hAnsi="Times New Roman" w:cs="Times New Roman"/>
          <w:color w:val="333333"/>
          <w:sz w:val="24"/>
          <w:szCs w:val="24"/>
        </w:rPr>
        <w:t>7. Для визначення ризиків настання негативних наслідків від провадження господарської діяльності застосовується форма згідно з </w:t>
      </w:r>
      <w:hyperlink r:id="rId9" w:anchor="n52" w:history="1">
        <w:r w:rsidRPr="0032265E">
          <w:rPr>
            <w:rFonts w:ascii="Times New Roman" w:eastAsia="Times New Roman" w:hAnsi="Times New Roman" w:cs="Times New Roman"/>
            <w:color w:val="006600"/>
            <w:sz w:val="24"/>
            <w:szCs w:val="24"/>
            <w:u w:val="single"/>
          </w:rPr>
          <w:t>додатком 1</w:t>
        </w:r>
      </w:hyperlink>
      <w:r w:rsidRPr="0032265E">
        <w:rPr>
          <w:rFonts w:ascii="Times New Roman" w:eastAsia="Times New Roman" w:hAnsi="Times New Roman" w:cs="Times New Roman"/>
          <w:color w:val="333333"/>
          <w:sz w:val="24"/>
          <w:szCs w:val="24"/>
        </w:rPr>
        <w:t>.</w:t>
      </w:r>
    </w:p>
    <w:p w14:paraId="4FDE4E11"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7" w:name="n36"/>
      <w:bookmarkEnd w:id="37"/>
      <w:r w:rsidRPr="0032265E">
        <w:rPr>
          <w:rFonts w:ascii="Times New Roman" w:eastAsia="Times New Roman" w:hAnsi="Times New Roman" w:cs="Times New Roman"/>
          <w:color w:val="333333"/>
          <w:sz w:val="24"/>
          <w:szCs w:val="24"/>
        </w:rPr>
        <w:lastRenderedPageBreak/>
        <w:t>8. Кількість балів, що нараховується за кожним показником критеріїв, повинна відображати ступінь відповідного ризику.</w:t>
      </w:r>
    </w:p>
    <w:p w14:paraId="1E65CD40"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38" w:name="n37"/>
      <w:bookmarkEnd w:id="38"/>
      <w:r w:rsidRPr="0032265E">
        <w:rPr>
          <w:rFonts w:ascii="Times New Roman" w:eastAsia="Times New Roman" w:hAnsi="Times New Roman" w:cs="Times New Roman"/>
          <w:color w:val="333333"/>
          <w:sz w:val="24"/>
          <w:szCs w:val="24"/>
        </w:rPr>
        <w:t>9. Для визначення вичерпного переліку критеріїв, їх показників, кількості балів за кожним показником, шкали балів та періодичності проведення планових заходів державного нагляду (контролю) застосовується форма згідно з </w:t>
      </w:r>
      <w:hyperlink r:id="rId10" w:anchor="n56" w:history="1">
        <w:r w:rsidRPr="0032265E">
          <w:rPr>
            <w:rFonts w:ascii="Times New Roman" w:eastAsia="Times New Roman" w:hAnsi="Times New Roman" w:cs="Times New Roman"/>
            <w:color w:val="006600"/>
            <w:sz w:val="24"/>
            <w:szCs w:val="24"/>
            <w:u w:val="single"/>
          </w:rPr>
          <w:t>додатком 2</w:t>
        </w:r>
      </w:hyperlink>
      <w:r w:rsidRPr="0032265E">
        <w:rPr>
          <w:rFonts w:ascii="Times New Roman" w:eastAsia="Times New Roman" w:hAnsi="Times New Roman" w:cs="Times New Roman"/>
          <w:color w:val="333333"/>
          <w:sz w:val="24"/>
          <w:szCs w:val="24"/>
        </w:rPr>
        <w:t>.</w:t>
      </w:r>
    </w:p>
    <w:p w14:paraId="427FD961"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39" w:name="n38"/>
      <w:bookmarkEnd w:id="39"/>
      <w:r w:rsidRPr="0032265E">
        <w:rPr>
          <w:rFonts w:ascii="Times New Roman" w:eastAsia="Times New Roman" w:hAnsi="Times New Roman" w:cs="Times New Roman"/>
          <w:b/>
          <w:bCs/>
          <w:color w:val="333333"/>
          <w:sz w:val="28"/>
          <w:szCs w:val="28"/>
        </w:rPr>
        <w:t>Вимоги щодо віднесення суб’єктів господарювання до ступенів ризику</w:t>
      </w:r>
    </w:p>
    <w:p w14:paraId="3DC342DE"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0" w:name="n39"/>
      <w:bookmarkEnd w:id="40"/>
      <w:r w:rsidRPr="0032265E">
        <w:rPr>
          <w:rFonts w:ascii="Times New Roman" w:eastAsia="Times New Roman" w:hAnsi="Times New Roman" w:cs="Times New Roman"/>
          <w:color w:val="333333"/>
          <w:sz w:val="24"/>
          <w:szCs w:val="24"/>
        </w:rPr>
        <w:t>10. Віднесення суб’єкта господарювання до одного з трьох ступенів ризику (високий, середній, незначний) здійснюється з урахуванням суми балів, нарахованих за всіма критеріями у відповідній сфері відповідно до шкали балів.</w:t>
      </w:r>
    </w:p>
    <w:p w14:paraId="06E91651"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1" w:name="n40"/>
      <w:bookmarkEnd w:id="41"/>
      <w:r w:rsidRPr="0032265E">
        <w:rPr>
          <w:rFonts w:ascii="Times New Roman" w:eastAsia="Times New Roman" w:hAnsi="Times New Roman" w:cs="Times New Roman"/>
          <w:color w:val="333333"/>
          <w:sz w:val="24"/>
          <w:szCs w:val="24"/>
        </w:rPr>
        <w:t>11. З метою забезпечення прозорості інформація про віднесення суб’єктів господарювання до ступенів ризику узагальнюється шляхом складення та ведення переліку суб’єктів господарювання, що підлягають державному нагляду (контролю) у відповідній сфері господарської діяльності, з розташуванням їх у порядку зменшення сум балів, нарахованих кожному суб’єкту.</w:t>
      </w:r>
    </w:p>
    <w:p w14:paraId="3709E8D5"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2" w:name="n41"/>
      <w:bookmarkEnd w:id="42"/>
      <w:r w:rsidRPr="0032265E">
        <w:rPr>
          <w:rFonts w:ascii="Times New Roman" w:eastAsia="Times New Roman" w:hAnsi="Times New Roman" w:cs="Times New Roman"/>
          <w:color w:val="333333"/>
          <w:sz w:val="24"/>
          <w:szCs w:val="24"/>
        </w:rPr>
        <w:t>Щороку не пізніше 15 жовтня поточного року, що передує плановому, перелік оновлюється шляхом:</w:t>
      </w:r>
    </w:p>
    <w:p w14:paraId="12361131"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3" w:name="n42"/>
      <w:bookmarkEnd w:id="43"/>
      <w:r w:rsidRPr="0032265E">
        <w:rPr>
          <w:rFonts w:ascii="Times New Roman" w:eastAsia="Times New Roman" w:hAnsi="Times New Roman" w:cs="Times New Roman"/>
          <w:color w:val="333333"/>
          <w:sz w:val="24"/>
          <w:szCs w:val="24"/>
        </w:rPr>
        <w:t>здійснення перерахунку сум балів, нарахованих суб’єктам господарювання, що підлягають державному нагляду (контролю) у відповідній сфері, за результатами державного нагляду (контролю) за попередній рік;</w:t>
      </w:r>
    </w:p>
    <w:p w14:paraId="3F3E4829"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4" w:name="n43"/>
      <w:bookmarkEnd w:id="44"/>
      <w:r w:rsidRPr="0032265E">
        <w:rPr>
          <w:rFonts w:ascii="Times New Roman" w:eastAsia="Times New Roman" w:hAnsi="Times New Roman" w:cs="Times New Roman"/>
          <w:color w:val="333333"/>
          <w:sz w:val="24"/>
          <w:szCs w:val="24"/>
        </w:rPr>
        <w:t>включення до нього суб’єктів господарювання, що підлягають державному нагляду (контролю) у наступному плановому періоді;</w:t>
      </w:r>
    </w:p>
    <w:p w14:paraId="5363320C"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5" w:name="n44"/>
      <w:bookmarkEnd w:id="45"/>
      <w:r w:rsidRPr="0032265E">
        <w:rPr>
          <w:rFonts w:ascii="Times New Roman" w:eastAsia="Times New Roman" w:hAnsi="Times New Roman" w:cs="Times New Roman"/>
          <w:color w:val="333333"/>
          <w:sz w:val="24"/>
          <w:szCs w:val="24"/>
        </w:rPr>
        <w:t>розташування всіх включених до нього суб’єктів господарювання у порядку зменшення сум балів, нарахованих кожному суб’єкту.</w:t>
      </w:r>
    </w:p>
    <w:p w14:paraId="1F83D871"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46" w:name="n45"/>
      <w:bookmarkEnd w:id="46"/>
      <w:r w:rsidRPr="0032265E">
        <w:rPr>
          <w:rFonts w:ascii="Times New Roman" w:eastAsia="Times New Roman" w:hAnsi="Times New Roman" w:cs="Times New Roman"/>
          <w:b/>
          <w:bCs/>
          <w:color w:val="333333"/>
          <w:sz w:val="28"/>
          <w:szCs w:val="28"/>
        </w:rPr>
        <w:t>Вимоги щодо визначення періодичності проведення планових заходів державного нагляду (контролю)</w:t>
      </w:r>
    </w:p>
    <w:p w14:paraId="201337F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7" w:name="n46"/>
      <w:bookmarkEnd w:id="47"/>
      <w:r w:rsidRPr="0032265E">
        <w:rPr>
          <w:rFonts w:ascii="Times New Roman" w:eastAsia="Times New Roman" w:hAnsi="Times New Roman" w:cs="Times New Roman"/>
          <w:color w:val="333333"/>
          <w:sz w:val="24"/>
          <w:szCs w:val="24"/>
        </w:rPr>
        <w:t>12. Залежно від ступеня ризику від провадження господарської діяльності встановлюється періодичність проведення планових заходів державного нагляду (контролю) відповідно до </w:t>
      </w:r>
      <w:hyperlink r:id="rId11" w:anchor="n156" w:tgtFrame="_blank" w:history="1">
        <w:r w:rsidRPr="0032265E">
          <w:rPr>
            <w:rFonts w:ascii="Times New Roman" w:eastAsia="Times New Roman" w:hAnsi="Times New Roman" w:cs="Times New Roman"/>
            <w:color w:val="000099"/>
            <w:sz w:val="24"/>
            <w:szCs w:val="24"/>
            <w:u w:val="single"/>
          </w:rPr>
          <w:t>Закону України</w:t>
        </w:r>
      </w:hyperlink>
      <w:r w:rsidRPr="0032265E">
        <w:rPr>
          <w:rFonts w:ascii="Times New Roman" w:eastAsia="Times New Roman" w:hAnsi="Times New Roman" w:cs="Times New Roman"/>
          <w:color w:val="333333"/>
          <w:sz w:val="24"/>
          <w:szCs w:val="24"/>
        </w:rPr>
        <w:t> “Про основні засади державного нагляду (контролю) у сфері господарської діяльності”.</w:t>
      </w:r>
    </w:p>
    <w:p w14:paraId="1C572BE4"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8" w:name="n47"/>
      <w:bookmarkEnd w:id="48"/>
      <w:r w:rsidRPr="0032265E">
        <w:rPr>
          <w:rFonts w:ascii="Times New Roman" w:eastAsia="Times New Roman" w:hAnsi="Times New Roman" w:cs="Times New Roman"/>
          <w:color w:val="333333"/>
          <w:sz w:val="24"/>
          <w:szCs w:val="24"/>
        </w:rPr>
        <w:t>Періодичність проведення наступного планового заходу державного нагляду (контролю) щодо відповідного суб’єкта господарювання відраховується від дати закінчення планового періоду, в якому здійснювався захід державного нагляду (контролю).</w:t>
      </w:r>
    </w:p>
    <w:p w14:paraId="573B9AE6"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49" w:name="n48"/>
      <w:bookmarkEnd w:id="49"/>
      <w:r w:rsidRPr="0032265E">
        <w:rPr>
          <w:rFonts w:ascii="Times New Roman" w:eastAsia="Times New Roman" w:hAnsi="Times New Roman" w:cs="Times New Roman"/>
          <w:color w:val="333333"/>
          <w:sz w:val="24"/>
          <w:szCs w:val="24"/>
        </w:rPr>
        <w:t>13. Періодичність проведення планових заходів державного нагляду (контролю) може змінюватися у разі відсутності суттєвих порушень суб’єктом господарювання вимог законодавства шляхом встановлення відповідного коефіцієнта. Це положення не застосовується до суб’єктів господарювання, віднесених до високого ступеня ризику.</w:t>
      </w:r>
    </w:p>
    <w:p w14:paraId="24B257ED"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50" w:name="n49"/>
      <w:bookmarkEnd w:id="50"/>
      <w:r w:rsidRPr="0032265E">
        <w:rPr>
          <w:rFonts w:ascii="Times New Roman" w:eastAsia="Times New Roman" w:hAnsi="Times New Roman" w:cs="Times New Roman"/>
          <w:b/>
          <w:bCs/>
          <w:color w:val="333333"/>
          <w:sz w:val="28"/>
          <w:szCs w:val="28"/>
        </w:rPr>
        <w:t>Вимоги щодо оприлюднення інформації</w:t>
      </w:r>
    </w:p>
    <w:p w14:paraId="68E3E7ED"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51" w:name="n50"/>
      <w:bookmarkEnd w:id="51"/>
      <w:r w:rsidRPr="0032265E">
        <w:rPr>
          <w:rFonts w:ascii="Times New Roman" w:eastAsia="Times New Roman" w:hAnsi="Times New Roman" w:cs="Times New Roman"/>
          <w:color w:val="333333"/>
          <w:sz w:val="24"/>
          <w:szCs w:val="24"/>
        </w:rPr>
        <w:lastRenderedPageBreak/>
        <w:t>14. Відомості про перелік суб’єктів господарювання, що підлягають державному нагляду (контролю) у відповідній сфері господарської діяльності із зазначенням ступеня ризику від провадження ними господарської діяльності, та форми, зазначені у </w:t>
      </w:r>
      <w:hyperlink r:id="rId12" w:anchor="n35" w:history="1">
        <w:r w:rsidRPr="0032265E">
          <w:rPr>
            <w:rFonts w:ascii="Times New Roman" w:eastAsia="Times New Roman" w:hAnsi="Times New Roman" w:cs="Times New Roman"/>
            <w:color w:val="006600"/>
            <w:sz w:val="24"/>
            <w:szCs w:val="24"/>
            <w:u w:val="single"/>
          </w:rPr>
          <w:t>пунктах 7</w:t>
        </w:r>
      </w:hyperlink>
      <w:r w:rsidRPr="0032265E">
        <w:rPr>
          <w:rFonts w:ascii="Times New Roman" w:eastAsia="Times New Roman" w:hAnsi="Times New Roman" w:cs="Times New Roman"/>
          <w:color w:val="333333"/>
          <w:sz w:val="24"/>
          <w:szCs w:val="24"/>
        </w:rPr>
        <w:t> і </w:t>
      </w:r>
      <w:hyperlink r:id="rId13" w:anchor="n37" w:history="1">
        <w:r w:rsidRPr="0032265E">
          <w:rPr>
            <w:rFonts w:ascii="Times New Roman" w:eastAsia="Times New Roman" w:hAnsi="Times New Roman" w:cs="Times New Roman"/>
            <w:color w:val="006600"/>
            <w:sz w:val="24"/>
            <w:szCs w:val="24"/>
            <w:u w:val="single"/>
          </w:rPr>
          <w:t>9</w:t>
        </w:r>
      </w:hyperlink>
      <w:r w:rsidRPr="0032265E">
        <w:rPr>
          <w:rFonts w:ascii="Times New Roman" w:eastAsia="Times New Roman" w:hAnsi="Times New Roman" w:cs="Times New Roman"/>
          <w:color w:val="333333"/>
          <w:sz w:val="24"/>
          <w:szCs w:val="24"/>
        </w:rPr>
        <w:t> цієї Методики, оприлюднюються на офіційному веб-сайті відповідного органу державного нагляду (контролю).</w:t>
      </w:r>
    </w:p>
    <w:p w14:paraId="0A455E38"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52" w:name="n92"/>
      <w:bookmarkEnd w:id="52"/>
      <w:r w:rsidRPr="0032265E">
        <w:rPr>
          <w:rFonts w:ascii="Times New Roman" w:eastAsia="Times New Roman" w:hAnsi="Times New Roman" w:cs="Times New Roman"/>
          <w:sz w:val="24"/>
          <w:szCs w:val="24"/>
        </w:rPr>
        <w:pict w14:anchorId="02BB695C">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351"/>
        <w:gridCol w:w="5003"/>
      </w:tblGrid>
      <w:tr w:rsidR="0032265E" w:rsidRPr="0032265E" w14:paraId="30FC21E0"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223C4C22"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53" w:name="n51"/>
            <w:bookmarkEnd w:id="53"/>
          </w:p>
        </w:tc>
        <w:tc>
          <w:tcPr>
            <w:tcW w:w="2300" w:type="pct"/>
            <w:tcBorders>
              <w:top w:val="single" w:sz="2" w:space="0" w:color="auto"/>
              <w:left w:val="single" w:sz="2" w:space="0" w:color="auto"/>
              <w:bottom w:val="single" w:sz="2" w:space="0" w:color="auto"/>
              <w:right w:val="single" w:sz="2" w:space="0" w:color="auto"/>
            </w:tcBorders>
            <w:hideMark/>
          </w:tcPr>
          <w:p w14:paraId="7E417A42"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Додаток 1</w:t>
            </w:r>
            <w:r w:rsidRPr="0032265E">
              <w:rPr>
                <w:rFonts w:ascii="Times New Roman" w:eastAsia="Times New Roman" w:hAnsi="Times New Roman" w:cs="Times New Roman"/>
                <w:sz w:val="24"/>
                <w:szCs w:val="24"/>
              </w:rPr>
              <w:br/>
              <w:t>до Методики розроблення критеріїв,</w:t>
            </w:r>
            <w:r w:rsidRPr="0032265E">
              <w:rPr>
                <w:rFonts w:ascii="Times New Roman" w:eastAsia="Times New Roman" w:hAnsi="Times New Roman" w:cs="Times New Roman"/>
                <w:sz w:val="24"/>
                <w:szCs w:val="24"/>
              </w:rPr>
              <w:br/>
              <w:t>за якими оцінюється ступінь ризику</w:t>
            </w:r>
            <w:r w:rsidRPr="0032265E">
              <w:rPr>
                <w:rFonts w:ascii="Times New Roman" w:eastAsia="Times New Roman" w:hAnsi="Times New Roman" w:cs="Times New Roman"/>
                <w:sz w:val="24"/>
                <w:szCs w:val="24"/>
              </w:rPr>
              <w:br/>
              <w:t>від провадження господарської діяльності</w:t>
            </w:r>
            <w:r w:rsidRPr="0032265E">
              <w:rPr>
                <w:rFonts w:ascii="Times New Roman" w:eastAsia="Times New Roman" w:hAnsi="Times New Roman" w:cs="Times New Roman"/>
                <w:sz w:val="24"/>
                <w:szCs w:val="24"/>
              </w:rPr>
              <w:br/>
              <w:t>та визначається періодичність проведення</w:t>
            </w:r>
            <w:r w:rsidRPr="0032265E">
              <w:rPr>
                <w:rFonts w:ascii="Times New Roman" w:eastAsia="Times New Roman" w:hAnsi="Times New Roman" w:cs="Times New Roman"/>
                <w:sz w:val="24"/>
                <w:szCs w:val="24"/>
              </w:rPr>
              <w:br/>
              <w:t>планових заходів державного нагляду</w:t>
            </w:r>
            <w:r w:rsidRPr="0032265E">
              <w:rPr>
                <w:rFonts w:ascii="Times New Roman" w:eastAsia="Times New Roman" w:hAnsi="Times New Roman" w:cs="Times New Roman"/>
                <w:sz w:val="24"/>
                <w:szCs w:val="24"/>
              </w:rPr>
              <w:br/>
              <w:t>(контролю)</w:t>
            </w:r>
          </w:p>
        </w:tc>
      </w:tr>
    </w:tbl>
    <w:p w14:paraId="53AC576E"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54" w:name="n52"/>
      <w:bookmarkEnd w:id="54"/>
      <w:r w:rsidRPr="0032265E">
        <w:rPr>
          <w:rFonts w:ascii="Times New Roman" w:eastAsia="Times New Roman" w:hAnsi="Times New Roman" w:cs="Times New Roman"/>
          <w:b/>
          <w:bCs/>
          <w:color w:val="333333"/>
          <w:sz w:val="28"/>
          <w:szCs w:val="28"/>
        </w:rPr>
        <w:t>ФОРМА</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28"/>
          <w:szCs w:val="28"/>
        </w:rPr>
        <w:t>визначення ризиків настання негативних наслідків від провадження господарської діяльності</w:t>
      </w:r>
    </w:p>
    <w:p w14:paraId="15A2F4A0" w14:textId="77777777" w:rsidR="0032265E" w:rsidRPr="0032265E" w:rsidRDefault="0032265E" w:rsidP="0032265E">
      <w:pPr>
        <w:shd w:val="clear" w:color="auto" w:fill="FFFFFF"/>
        <w:spacing w:before="150" w:after="150" w:line="240" w:lineRule="auto"/>
        <w:rPr>
          <w:rFonts w:ascii="Times New Roman" w:eastAsia="Times New Roman" w:hAnsi="Times New Roman" w:cs="Times New Roman"/>
          <w:color w:val="333333"/>
          <w:sz w:val="24"/>
          <w:szCs w:val="24"/>
        </w:rPr>
      </w:pPr>
      <w:bookmarkStart w:id="55" w:name="n53"/>
      <w:bookmarkEnd w:id="55"/>
      <w:r w:rsidRPr="0032265E">
        <w:rPr>
          <w:rFonts w:ascii="Times New Roman" w:eastAsia="Times New Roman" w:hAnsi="Times New Roman" w:cs="Times New Roman"/>
          <w:color w:val="333333"/>
          <w:sz w:val="24"/>
          <w:szCs w:val="24"/>
        </w:rPr>
        <w:t>Сфера державного нагляду (контролю) ___________________</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1840"/>
        <w:gridCol w:w="2074"/>
        <w:gridCol w:w="3230"/>
        <w:gridCol w:w="2216"/>
      </w:tblGrid>
      <w:tr w:rsidR="0032265E" w:rsidRPr="0032265E" w14:paraId="636848E1" w14:textId="77777777" w:rsidTr="0032265E">
        <w:trPr>
          <w:trHeight w:val="600"/>
        </w:trPr>
        <w:tc>
          <w:tcPr>
            <w:tcW w:w="2310" w:type="dxa"/>
            <w:vMerge w:val="restart"/>
            <w:tcBorders>
              <w:top w:val="single" w:sz="6" w:space="0" w:color="000000"/>
              <w:left w:val="nil"/>
              <w:bottom w:val="single" w:sz="6" w:space="0" w:color="000000"/>
              <w:right w:val="single" w:sz="6" w:space="0" w:color="000000"/>
            </w:tcBorders>
            <w:hideMark/>
          </w:tcPr>
          <w:p w14:paraId="278F538D"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bookmarkStart w:id="56" w:name="n54"/>
            <w:bookmarkEnd w:id="56"/>
            <w:r w:rsidRPr="0032265E">
              <w:rPr>
                <w:rFonts w:ascii="Times New Roman" w:eastAsia="Times New Roman" w:hAnsi="Times New Roman" w:cs="Times New Roman"/>
                <w:sz w:val="24"/>
                <w:szCs w:val="24"/>
              </w:rPr>
              <w:t>Цілі державного нагляду (контролю) (код)</w:t>
            </w:r>
          </w:p>
        </w:tc>
        <w:tc>
          <w:tcPr>
            <w:tcW w:w="0" w:type="auto"/>
            <w:gridSpan w:val="2"/>
            <w:tcBorders>
              <w:top w:val="single" w:sz="6" w:space="0" w:color="000000"/>
              <w:left w:val="single" w:sz="6" w:space="0" w:color="000000"/>
              <w:bottom w:val="single" w:sz="6" w:space="0" w:color="000000"/>
              <w:right w:val="single" w:sz="6" w:space="0" w:color="000000"/>
            </w:tcBorders>
            <w:hideMark/>
          </w:tcPr>
          <w:p w14:paraId="40850F41"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Ризик настання негативних наслідків від провадження господарської діяльності</w:t>
            </w:r>
          </w:p>
        </w:tc>
        <w:tc>
          <w:tcPr>
            <w:tcW w:w="2940" w:type="dxa"/>
            <w:vMerge w:val="restart"/>
            <w:tcBorders>
              <w:top w:val="single" w:sz="6" w:space="0" w:color="000000"/>
              <w:left w:val="single" w:sz="6" w:space="0" w:color="000000"/>
              <w:bottom w:val="single" w:sz="6" w:space="0" w:color="000000"/>
              <w:right w:val="nil"/>
            </w:tcBorders>
            <w:hideMark/>
          </w:tcPr>
          <w:p w14:paraId="4BA711F2"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Критерії,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w:t>
            </w:r>
          </w:p>
        </w:tc>
      </w:tr>
      <w:tr w:rsidR="0032265E" w:rsidRPr="0032265E" w14:paraId="3A005D05" w14:textId="77777777" w:rsidTr="0032265E">
        <w:trPr>
          <w:trHeight w:val="450"/>
        </w:trPr>
        <w:tc>
          <w:tcPr>
            <w:tcW w:w="0" w:type="auto"/>
            <w:vMerge/>
            <w:tcBorders>
              <w:top w:val="single" w:sz="6" w:space="0" w:color="000000"/>
              <w:left w:val="nil"/>
              <w:bottom w:val="single" w:sz="6" w:space="0" w:color="000000"/>
              <w:right w:val="single" w:sz="6" w:space="0" w:color="000000"/>
            </w:tcBorders>
            <w:hideMark/>
          </w:tcPr>
          <w:p w14:paraId="32C0C305"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single" w:sz="6" w:space="0" w:color="000000"/>
              <w:left w:val="single" w:sz="6" w:space="0" w:color="000000"/>
              <w:bottom w:val="single" w:sz="6" w:space="0" w:color="000000"/>
              <w:right w:val="single" w:sz="6" w:space="0" w:color="000000"/>
            </w:tcBorders>
            <w:hideMark/>
          </w:tcPr>
          <w:p w14:paraId="28066425"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що містить ризик настання негативних наслідків</w:t>
            </w:r>
          </w:p>
        </w:tc>
        <w:tc>
          <w:tcPr>
            <w:tcW w:w="3390" w:type="dxa"/>
            <w:tcBorders>
              <w:top w:val="single" w:sz="6" w:space="0" w:color="000000"/>
              <w:left w:val="single" w:sz="6" w:space="0" w:color="000000"/>
              <w:bottom w:val="single" w:sz="6" w:space="0" w:color="000000"/>
              <w:right w:val="single" w:sz="6" w:space="0" w:color="000000"/>
            </w:tcBorders>
            <w:hideMark/>
          </w:tcPr>
          <w:p w14:paraId="183CA44E"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w:t>
            </w:r>
          </w:p>
        </w:tc>
        <w:tc>
          <w:tcPr>
            <w:tcW w:w="0" w:type="auto"/>
            <w:vMerge/>
            <w:tcBorders>
              <w:top w:val="single" w:sz="6" w:space="0" w:color="000000"/>
              <w:left w:val="single" w:sz="6" w:space="0" w:color="000000"/>
              <w:bottom w:val="single" w:sz="6" w:space="0" w:color="000000"/>
              <w:right w:val="nil"/>
            </w:tcBorders>
            <w:vAlign w:val="center"/>
            <w:hideMark/>
          </w:tcPr>
          <w:p w14:paraId="6977F50A" w14:textId="77777777" w:rsidR="0032265E" w:rsidRPr="0032265E" w:rsidRDefault="0032265E" w:rsidP="0032265E">
            <w:pPr>
              <w:spacing w:after="0" w:line="240" w:lineRule="auto"/>
              <w:rPr>
                <w:rFonts w:ascii="Times New Roman" w:eastAsia="Times New Roman" w:hAnsi="Times New Roman" w:cs="Times New Roman"/>
                <w:sz w:val="24"/>
                <w:szCs w:val="24"/>
              </w:rPr>
            </w:pPr>
          </w:p>
        </w:tc>
      </w:tr>
      <w:tr w:rsidR="0032265E" w:rsidRPr="0032265E" w14:paraId="26F375EC" w14:textId="77777777" w:rsidTr="0032265E">
        <w:trPr>
          <w:trHeight w:val="135"/>
        </w:trPr>
        <w:tc>
          <w:tcPr>
            <w:tcW w:w="2310" w:type="dxa"/>
            <w:vMerge w:val="restart"/>
            <w:tcBorders>
              <w:top w:val="single" w:sz="6" w:space="0" w:color="000000"/>
              <w:left w:val="nil"/>
              <w:bottom w:val="nil"/>
              <w:right w:val="nil"/>
            </w:tcBorders>
            <w:hideMark/>
          </w:tcPr>
          <w:p w14:paraId="3AFD613C"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Життя та здоров’я людини (О1)</w:t>
            </w:r>
          </w:p>
        </w:tc>
        <w:tc>
          <w:tcPr>
            <w:tcW w:w="1860" w:type="dxa"/>
            <w:tcBorders>
              <w:top w:val="single" w:sz="6" w:space="0" w:color="000000"/>
              <w:left w:val="nil"/>
              <w:bottom w:val="nil"/>
              <w:right w:val="nil"/>
            </w:tcBorders>
            <w:hideMark/>
          </w:tcPr>
          <w:p w14:paraId="2587FB2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1.1</w:t>
            </w:r>
          </w:p>
        </w:tc>
        <w:tc>
          <w:tcPr>
            <w:tcW w:w="3390" w:type="dxa"/>
            <w:tcBorders>
              <w:top w:val="single" w:sz="6" w:space="0" w:color="000000"/>
              <w:left w:val="nil"/>
              <w:bottom w:val="nil"/>
              <w:right w:val="nil"/>
            </w:tcBorders>
            <w:hideMark/>
          </w:tcPr>
          <w:p w14:paraId="6CBB2ED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1.1</w:t>
            </w:r>
          </w:p>
        </w:tc>
        <w:tc>
          <w:tcPr>
            <w:tcW w:w="2940" w:type="dxa"/>
            <w:tcBorders>
              <w:top w:val="single" w:sz="6" w:space="0" w:color="000000"/>
              <w:left w:val="nil"/>
              <w:bottom w:val="nil"/>
              <w:right w:val="nil"/>
            </w:tcBorders>
            <w:hideMark/>
          </w:tcPr>
          <w:p w14:paraId="64017507"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30B95695" w14:textId="77777777" w:rsidTr="0032265E">
        <w:trPr>
          <w:trHeight w:val="75"/>
        </w:trPr>
        <w:tc>
          <w:tcPr>
            <w:tcW w:w="0" w:type="auto"/>
            <w:vMerge/>
            <w:tcBorders>
              <w:top w:val="single" w:sz="6" w:space="0" w:color="000000"/>
              <w:left w:val="nil"/>
              <w:bottom w:val="nil"/>
              <w:right w:val="nil"/>
            </w:tcBorders>
            <w:hideMark/>
          </w:tcPr>
          <w:p w14:paraId="64FF932F"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3BBE519C"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1.х</w:t>
            </w:r>
            <w:proofErr w:type="gramEnd"/>
          </w:p>
        </w:tc>
        <w:tc>
          <w:tcPr>
            <w:tcW w:w="3390" w:type="dxa"/>
            <w:tcBorders>
              <w:top w:val="nil"/>
              <w:left w:val="nil"/>
              <w:bottom w:val="nil"/>
              <w:right w:val="nil"/>
            </w:tcBorders>
            <w:hideMark/>
          </w:tcPr>
          <w:p w14:paraId="0F4D97D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1.х</w:t>
            </w:r>
            <w:proofErr w:type="gramEnd"/>
          </w:p>
        </w:tc>
        <w:tc>
          <w:tcPr>
            <w:tcW w:w="2940" w:type="dxa"/>
            <w:tcBorders>
              <w:top w:val="nil"/>
              <w:left w:val="nil"/>
              <w:bottom w:val="nil"/>
              <w:right w:val="nil"/>
            </w:tcBorders>
            <w:hideMark/>
          </w:tcPr>
          <w:p w14:paraId="2EC7594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06B70B19" w14:textId="77777777" w:rsidTr="0032265E">
        <w:trPr>
          <w:trHeight w:val="300"/>
        </w:trPr>
        <w:tc>
          <w:tcPr>
            <w:tcW w:w="2310" w:type="dxa"/>
            <w:vMerge w:val="restart"/>
            <w:tcBorders>
              <w:top w:val="nil"/>
              <w:left w:val="nil"/>
              <w:bottom w:val="nil"/>
              <w:right w:val="nil"/>
            </w:tcBorders>
            <w:hideMark/>
          </w:tcPr>
          <w:p w14:paraId="513B5EC8"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Належна якість продукції, робіт та послуг (немайнові блага) (О2)</w:t>
            </w:r>
          </w:p>
        </w:tc>
        <w:tc>
          <w:tcPr>
            <w:tcW w:w="1860" w:type="dxa"/>
            <w:tcBorders>
              <w:top w:val="nil"/>
              <w:left w:val="nil"/>
              <w:bottom w:val="nil"/>
              <w:right w:val="nil"/>
            </w:tcBorders>
            <w:hideMark/>
          </w:tcPr>
          <w:p w14:paraId="6DAFF186"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2.1</w:t>
            </w:r>
          </w:p>
        </w:tc>
        <w:tc>
          <w:tcPr>
            <w:tcW w:w="3390" w:type="dxa"/>
            <w:tcBorders>
              <w:top w:val="nil"/>
              <w:left w:val="nil"/>
              <w:bottom w:val="nil"/>
              <w:right w:val="nil"/>
            </w:tcBorders>
            <w:hideMark/>
          </w:tcPr>
          <w:p w14:paraId="11D19DD7"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2.1</w:t>
            </w:r>
          </w:p>
        </w:tc>
        <w:tc>
          <w:tcPr>
            <w:tcW w:w="2940" w:type="dxa"/>
            <w:tcBorders>
              <w:top w:val="nil"/>
              <w:left w:val="nil"/>
              <w:bottom w:val="nil"/>
              <w:right w:val="nil"/>
            </w:tcBorders>
            <w:hideMark/>
          </w:tcPr>
          <w:p w14:paraId="31A0F3D5"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49E05932" w14:textId="77777777" w:rsidTr="0032265E">
        <w:trPr>
          <w:trHeight w:val="75"/>
        </w:trPr>
        <w:tc>
          <w:tcPr>
            <w:tcW w:w="0" w:type="auto"/>
            <w:vMerge/>
            <w:tcBorders>
              <w:top w:val="nil"/>
              <w:left w:val="nil"/>
              <w:bottom w:val="nil"/>
              <w:right w:val="nil"/>
            </w:tcBorders>
            <w:hideMark/>
          </w:tcPr>
          <w:p w14:paraId="373173F5"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7F3A487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2.х</w:t>
            </w:r>
            <w:proofErr w:type="gramEnd"/>
          </w:p>
        </w:tc>
        <w:tc>
          <w:tcPr>
            <w:tcW w:w="3390" w:type="dxa"/>
            <w:tcBorders>
              <w:top w:val="nil"/>
              <w:left w:val="nil"/>
              <w:bottom w:val="nil"/>
              <w:right w:val="nil"/>
            </w:tcBorders>
            <w:hideMark/>
          </w:tcPr>
          <w:p w14:paraId="79FB85A6"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2.х</w:t>
            </w:r>
            <w:proofErr w:type="gramEnd"/>
          </w:p>
        </w:tc>
        <w:tc>
          <w:tcPr>
            <w:tcW w:w="2940" w:type="dxa"/>
            <w:tcBorders>
              <w:top w:val="nil"/>
              <w:left w:val="nil"/>
              <w:bottom w:val="nil"/>
              <w:right w:val="nil"/>
            </w:tcBorders>
            <w:hideMark/>
          </w:tcPr>
          <w:p w14:paraId="414331F5"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1F0941C7" w14:textId="77777777" w:rsidTr="0032265E">
        <w:trPr>
          <w:trHeight w:val="75"/>
        </w:trPr>
        <w:tc>
          <w:tcPr>
            <w:tcW w:w="2310" w:type="dxa"/>
            <w:vMerge w:val="restart"/>
            <w:tcBorders>
              <w:top w:val="nil"/>
              <w:left w:val="nil"/>
              <w:bottom w:val="nil"/>
              <w:right w:val="nil"/>
            </w:tcBorders>
            <w:hideMark/>
          </w:tcPr>
          <w:p w14:paraId="3ECAC129"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lastRenderedPageBreak/>
              <w:t>Належна якість продукції, робіт та послуг (майнові блага) (О3)</w:t>
            </w:r>
          </w:p>
        </w:tc>
        <w:tc>
          <w:tcPr>
            <w:tcW w:w="1860" w:type="dxa"/>
            <w:tcBorders>
              <w:top w:val="nil"/>
              <w:left w:val="nil"/>
              <w:bottom w:val="nil"/>
              <w:right w:val="nil"/>
            </w:tcBorders>
            <w:hideMark/>
          </w:tcPr>
          <w:p w14:paraId="03610E40"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3.1</w:t>
            </w:r>
          </w:p>
        </w:tc>
        <w:tc>
          <w:tcPr>
            <w:tcW w:w="3390" w:type="dxa"/>
            <w:tcBorders>
              <w:top w:val="nil"/>
              <w:left w:val="nil"/>
              <w:bottom w:val="nil"/>
              <w:right w:val="nil"/>
            </w:tcBorders>
            <w:hideMark/>
          </w:tcPr>
          <w:p w14:paraId="3D6C643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3.1</w:t>
            </w:r>
          </w:p>
        </w:tc>
        <w:tc>
          <w:tcPr>
            <w:tcW w:w="2940" w:type="dxa"/>
            <w:tcBorders>
              <w:top w:val="nil"/>
              <w:left w:val="nil"/>
              <w:bottom w:val="nil"/>
              <w:right w:val="nil"/>
            </w:tcBorders>
            <w:hideMark/>
          </w:tcPr>
          <w:p w14:paraId="024EAB2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3912704D" w14:textId="77777777" w:rsidTr="0032265E">
        <w:trPr>
          <w:trHeight w:val="75"/>
        </w:trPr>
        <w:tc>
          <w:tcPr>
            <w:tcW w:w="0" w:type="auto"/>
            <w:vMerge/>
            <w:tcBorders>
              <w:top w:val="nil"/>
              <w:left w:val="nil"/>
              <w:bottom w:val="nil"/>
              <w:right w:val="nil"/>
            </w:tcBorders>
            <w:hideMark/>
          </w:tcPr>
          <w:p w14:paraId="412D28C4"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7C81BDE4"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3.х</w:t>
            </w:r>
            <w:proofErr w:type="gramEnd"/>
          </w:p>
        </w:tc>
        <w:tc>
          <w:tcPr>
            <w:tcW w:w="3390" w:type="dxa"/>
            <w:tcBorders>
              <w:top w:val="nil"/>
              <w:left w:val="nil"/>
              <w:bottom w:val="nil"/>
              <w:right w:val="nil"/>
            </w:tcBorders>
            <w:hideMark/>
          </w:tcPr>
          <w:p w14:paraId="185EDA1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3.х</w:t>
            </w:r>
            <w:proofErr w:type="gramEnd"/>
          </w:p>
        </w:tc>
        <w:tc>
          <w:tcPr>
            <w:tcW w:w="2940" w:type="dxa"/>
            <w:tcBorders>
              <w:top w:val="nil"/>
              <w:left w:val="nil"/>
              <w:bottom w:val="nil"/>
              <w:right w:val="nil"/>
            </w:tcBorders>
            <w:hideMark/>
          </w:tcPr>
          <w:p w14:paraId="09E1DE1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291BC0D6" w14:textId="77777777" w:rsidTr="0032265E">
        <w:trPr>
          <w:trHeight w:val="540"/>
        </w:trPr>
        <w:tc>
          <w:tcPr>
            <w:tcW w:w="2310" w:type="dxa"/>
            <w:vMerge w:val="restart"/>
            <w:tcBorders>
              <w:top w:val="nil"/>
              <w:left w:val="nil"/>
              <w:bottom w:val="nil"/>
              <w:right w:val="nil"/>
            </w:tcBorders>
            <w:hideMark/>
          </w:tcPr>
          <w:p w14:paraId="136B002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Навколишнє природнє середовище (О4)</w:t>
            </w:r>
          </w:p>
        </w:tc>
        <w:tc>
          <w:tcPr>
            <w:tcW w:w="1860" w:type="dxa"/>
            <w:tcBorders>
              <w:top w:val="nil"/>
              <w:left w:val="nil"/>
              <w:bottom w:val="nil"/>
              <w:right w:val="nil"/>
            </w:tcBorders>
            <w:hideMark/>
          </w:tcPr>
          <w:p w14:paraId="0AF2C61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4.1</w:t>
            </w:r>
          </w:p>
        </w:tc>
        <w:tc>
          <w:tcPr>
            <w:tcW w:w="3390" w:type="dxa"/>
            <w:tcBorders>
              <w:top w:val="nil"/>
              <w:left w:val="nil"/>
              <w:bottom w:val="nil"/>
              <w:right w:val="nil"/>
            </w:tcBorders>
            <w:hideMark/>
          </w:tcPr>
          <w:p w14:paraId="1EA74BD6"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4.1</w:t>
            </w:r>
          </w:p>
        </w:tc>
        <w:tc>
          <w:tcPr>
            <w:tcW w:w="2940" w:type="dxa"/>
            <w:tcBorders>
              <w:top w:val="nil"/>
              <w:left w:val="nil"/>
              <w:bottom w:val="nil"/>
              <w:right w:val="nil"/>
            </w:tcBorders>
            <w:hideMark/>
          </w:tcPr>
          <w:p w14:paraId="1315098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10273CAF" w14:textId="77777777" w:rsidTr="0032265E">
        <w:trPr>
          <w:trHeight w:val="315"/>
        </w:trPr>
        <w:tc>
          <w:tcPr>
            <w:tcW w:w="0" w:type="auto"/>
            <w:vMerge/>
            <w:tcBorders>
              <w:top w:val="nil"/>
              <w:left w:val="nil"/>
              <w:bottom w:val="nil"/>
              <w:right w:val="nil"/>
            </w:tcBorders>
            <w:hideMark/>
          </w:tcPr>
          <w:p w14:paraId="28C19315"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25344F18"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4.х</w:t>
            </w:r>
            <w:proofErr w:type="gramEnd"/>
          </w:p>
        </w:tc>
        <w:tc>
          <w:tcPr>
            <w:tcW w:w="3390" w:type="dxa"/>
            <w:tcBorders>
              <w:top w:val="nil"/>
              <w:left w:val="nil"/>
              <w:bottom w:val="nil"/>
              <w:right w:val="nil"/>
            </w:tcBorders>
            <w:hideMark/>
          </w:tcPr>
          <w:p w14:paraId="62CB039D"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4.х</w:t>
            </w:r>
            <w:proofErr w:type="gramEnd"/>
          </w:p>
        </w:tc>
        <w:tc>
          <w:tcPr>
            <w:tcW w:w="2940" w:type="dxa"/>
            <w:tcBorders>
              <w:top w:val="nil"/>
              <w:left w:val="nil"/>
              <w:bottom w:val="nil"/>
              <w:right w:val="nil"/>
            </w:tcBorders>
            <w:hideMark/>
          </w:tcPr>
          <w:p w14:paraId="21568B35"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00F464FA" w14:textId="77777777" w:rsidTr="0032265E">
        <w:trPr>
          <w:trHeight w:val="315"/>
        </w:trPr>
        <w:tc>
          <w:tcPr>
            <w:tcW w:w="2310" w:type="dxa"/>
            <w:vMerge w:val="restart"/>
            <w:tcBorders>
              <w:top w:val="nil"/>
              <w:left w:val="nil"/>
              <w:bottom w:val="nil"/>
              <w:right w:val="nil"/>
            </w:tcBorders>
            <w:hideMark/>
          </w:tcPr>
          <w:p w14:paraId="4C4FC38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Національна безпека держави (О5)</w:t>
            </w:r>
          </w:p>
        </w:tc>
        <w:tc>
          <w:tcPr>
            <w:tcW w:w="1860" w:type="dxa"/>
            <w:tcBorders>
              <w:top w:val="nil"/>
              <w:left w:val="nil"/>
              <w:bottom w:val="nil"/>
              <w:right w:val="nil"/>
            </w:tcBorders>
            <w:hideMark/>
          </w:tcPr>
          <w:p w14:paraId="2B0D674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5.1</w:t>
            </w:r>
          </w:p>
        </w:tc>
        <w:tc>
          <w:tcPr>
            <w:tcW w:w="3390" w:type="dxa"/>
            <w:tcBorders>
              <w:top w:val="nil"/>
              <w:left w:val="nil"/>
              <w:bottom w:val="nil"/>
              <w:right w:val="nil"/>
            </w:tcBorders>
            <w:hideMark/>
          </w:tcPr>
          <w:p w14:paraId="3C4059C6"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5.1</w:t>
            </w:r>
          </w:p>
        </w:tc>
        <w:tc>
          <w:tcPr>
            <w:tcW w:w="2940" w:type="dxa"/>
            <w:tcBorders>
              <w:top w:val="nil"/>
              <w:left w:val="nil"/>
              <w:bottom w:val="nil"/>
              <w:right w:val="nil"/>
            </w:tcBorders>
            <w:hideMark/>
          </w:tcPr>
          <w:p w14:paraId="0BC0DD3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6D8383DA" w14:textId="77777777" w:rsidTr="0032265E">
        <w:trPr>
          <w:trHeight w:val="315"/>
        </w:trPr>
        <w:tc>
          <w:tcPr>
            <w:tcW w:w="0" w:type="auto"/>
            <w:vMerge/>
            <w:tcBorders>
              <w:top w:val="nil"/>
              <w:left w:val="nil"/>
              <w:bottom w:val="nil"/>
              <w:right w:val="nil"/>
            </w:tcBorders>
            <w:hideMark/>
          </w:tcPr>
          <w:p w14:paraId="3AD268F1"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3510C024"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5.х</w:t>
            </w:r>
            <w:proofErr w:type="gramEnd"/>
          </w:p>
        </w:tc>
        <w:tc>
          <w:tcPr>
            <w:tcW w:w="3390" w:type="dxa"/>
            <w:tcBorders>
              <w:top w:val="nil"/>
              <w:left w:val="nil"/>
              <w:bottom w:val="nil"/>
              <w:right w:val="nil"/>
            </w:tcBorders>
            <w:hideMark/>
          </w:tcPr>
          <w:p w14:paraId="5EA7FB2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5.х</w:t>
            </w:r>
            <w:proofErr w:type="gramEnd"/>
          </w:p>
        </w:tc>
        <w:tc>
          <w:tcPr>
            <w:tcW w:w="2940" w:type="dxa"/>
            <w:tcBorders>
              <w:top w:val="nil"/>
              <w:left w:val="nil"/>
              <w:bottom w:val="nil"/>
              <w:right w:val="nil"/>
            </w:tcBorders>
            <w:hideMark/>
          </w:tcPr>
          <w:p w14:paraId="6D5B9582"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6EBFFD19" w14:textId="77777777" w:rsidTr="0032265E">
        <w:trPr>
          <w:trHeight w:val="480"/>
        </w:trPr>
        <w:tc>
          <w:tcPr>
            <w:tcW w:w="2310" w:type="dxa"/>
            <w:vMerge w:val="restart"/>
            <w:tcBorders>
              <w:top w:val="nil"/>
              <w:left w:val="nil"/>
              <w:bottom w:val="nil"/>
              <w:right w:val="nil"/>
            </w:tcBorders>
            <w:hideMark/>
          </w:tcPr>
          <w:p w14:paraId="69662420"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Інші суспільні інтереси (О6)</w:t>
            </w:r>
          </w:p>
        </w:tc>
        <w:tc>
          <w:tcPr>
            <w:tcW w:w="1860" w:type="dxa"/>
            <w:tcBorders>
              <w:top w:val="nil"/>
              <w:left w:val="nil"/>
              <w:bottom w:val="nil"/>
              <w:right w:val="nil"/>
            </w:tcBorders>
            <w:hideMark/>
          </w:tcPr>
          <w:p w14:paraId="0E84C90D"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подія № 6.1</w:t>
            </w:r>
          </w:p>
        </w:tc>
        <w:tc>
          <w:tcPr>
            <w:tcW w:w="3390" w:type="dxa"/>
            <w:tcBorders>
              <w:top w:val="nil"/>
              <w:left w:val="nil"/>
              <w:bottom w:val="nil"/>
              <w:right w:val="nil"/>
            </w:tcBorders>
            <w:hideMark/>
          </w:tcPr>
          <w:p w14:paraId="1721C101"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негативний наслідок № 6.1</w:t>
            </w:r>
          </w:p>
        </w:tc>
        <w:tc>
          <w:tcPr>
            <w:tcW w:w="2940" w:type="dxa"/>
            <w:tcBorders>
              <w:top w:val="nil"/>
              <w:left w:val="nil"/>
              <w:bottom w:val="nil"/>
              <w:right w:val="nil"/>
            </w:tcBorders>
            <w:hideMark/>
          </w:tcPr>
          <w:p w14:paraId="04F60F92"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3E25D66A" w14:textId="77777777" w:rsidTr="0032265E">
        <w:tc>
          <w:tcPr>
            <w:tcW w:w="0" w:type="auto"/>
            <w:vMerge/>
            <w:tcBorders>
              <w:top w:val="nil"/>
              <w:left w:val="nil"/>
              <w:bottom w:val="nil"/>
              <w:right w:val="nil"/>
            </w:tcBorders>
            <w:hideMark/>
          </w:tcPr>
          <w:p w14:paraId="565D969A"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860" w:type="dxa"/>
            <w:tcBorders>
              <w:top w:val="nil"/>
              <w:left w:val="nil"/>
              <w:bottom w:val="nil"/>
              <w:right w:val="nil"/>
            </w:tcBorders>
            <w:hideMark/>
          </w:tcPr>
          <w:p w14:paraId="5F6768C9"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подія № </w:t>
            </w:r>
            <w:proofErr w:type="gramStart"/>
            <w:r w:rsidRPr="0032265E">
              <w:rPr>
                <w:rFonts w:ascii="Times New Roman" w:eastAsia="Times New Roman" w:hAnsi="Times New Roman" w:cs="Times New Roman"/>
                <w:sz w:val="24"/>
                <w:szCs w:val="24"/>
              </w:rPr>
              <w:t>6.х</w:t>
            </w:r>
            <w:proofErr w:type="gramEnd"/>
          </w:p>
        </w:tc>
        <w:tc>
          <w:tcPr>
            <w:tcW w:w="3390" w:type="dxa"/>
            <w:tcBorders>
              <w:top w:val="nil"/>
              <w:left w:val="nil"/>
              <w:bottom w:val="nil"/>
              <w:right w:val="nil"/>
            </w:tcBorders>
            <w:hideMark/>
          </w:tcPr>
          <w:p w14:paraId="1D2BD4DE"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 xml:space="preserve">негативний наслідок № </w:t>
            </w:r>
            <w:proofErr w:type="gramStart"/>
            <w:r w:rsidRPr="0032265E">
              <w:rPr>
                <w:rFonts w:ascii="Times New Roman" w:eastAsia="Times New Roman" w:hAnsi="Times New Roman" w:cs="Times New Roman"/>
                <w:sz w:val="24"/>
                <w:szCs w:val="24"/>
              </w:rPr>
              <w:t>6.х</w:t>
            </w:r>
            <w:proofErr w:type="gramEnd"/>
          </w:p>
        </w:tc>
        <w:tc>
          <w:tcPr>
            <w:tcW w:w="2940" w:type="dxa"/>
            <w:tcBorders>
              <w:top w:val="nil"/>
              <w:left w:val="nil"/>
              <w:bottom w:val="nil"/>
              <w:right w:val="nil"/>
            </w:tcBorders>
            <w:hideMark/>
          </w:tcPr>
          <w:p w14:paraId="35920711"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bl>
    <w:p w14:paraId="4C9F8609"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57" w:name="n93"/>
      <w:bookmarkEnd w:id="57"/>
      <w:r w:rsidRPr="0032265E">
        <w:rPr>
          <w:rFonts w:ascii="Times New Roman" w:eastAsia="Times New Roman" w:hAnsi="Times New Roman" w:cs="Times New Roman"/>
          <w:sz w:val="24"/>
          <w:szCs w:val="24"/>
        </w:rPr>
        <w:pict w14:anchorId="6AC5B0BB">
          <v:rect id="_x0000_i1027"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351"/>
        <w:gridCol w:w="5003"/>
      </w:tblGrid>
      <w:tr w:rsidR="0032265E" w:rsidRPr="0032265E" w14:paraId="72BC06F8"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1EE5E5D5"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58" w:name="n55"/>
            <w:bookmarkEnd w:id="58"/>
          </w:p>
        </w:tc>
        <w:tc>
          <w:tcPr>
            <w:tcW w:w="2300" w:type="pct"/>
            <w:tcBorders>
              <w:top w:val="single" w:sz="2" w:space="0" w:color="auto"/>
              <w:left w:val="single" w:sz="2" w:space="0" w:color="auto"/>
              <w:bottom w:val="single" w:sz="2" w:space="0" w:color="auto"/>
              <w:right w:val="single" w:sz="2" w:space="0" w:color="auto"/>
            </w:tcBorders>
            <w:hideMark/>
          </w:tcPr>
          <w:p w14:paraId="74AED8B1"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Додаток 2</w:t>
            </w:r>
            <w:r w:rsidRPr="0032265E">
              <w:rPr>
                <w:rFonts w:ascii="Times New Roman" w:eastAsia="Times New Roman" w:hAnsi="Times New Roman" w:cs="Times New Roman"/>
                <w:sz w:val="24"/>
                <w:szCs w:val="24"/>
              </w:rPr>
              <w:br/>
              <w:t>до Методики розроблення критеріїв,</w:t>
            </w:r>
            <w:r w:rsidRPr="0032265E">
              <w:rPr>
                <w:rFonts w:ascii="Times New Roman" w:eastAsia="Times New Roman" w:hAnsi="Times New Roman" w:cs="Times New Roman"/>
                <w:sz w:val="24"/>
                <w:szCs w:val="24"/>
              </w:rPr>
              <w:br/>
              <w:t>за якими оцінюється ступінь ризику</w:t>
            </w:r>
            <w:r w:rsidRPr="0032265E">
              <w:rPr>
                <w:rFonts w:ascii="Times New Roman" w:eastAsia="Times New Roman" w:hAnsi="Times New Roman" w:cs="Times New Roman"/>
                <w:sz w:val="24"/>
                <w:szCs w:val="24"/>
              </w:rPr>
              <w:br/>
              <w:t>від провадження господарської діяльності</w:t>
            </w:r>
            <w:r w:rsidRPr="0032265E">
              <w:rPr>
                <w:rFonts w:ascii="Times New Roman" w:eastAsia="Times New Roman" w:hAnsi="Times New Roman" w:cs="Times New Roman"/>
                <w:sz w:val="24"/>
                <w:szCs w:val="24"/>
              </w:rPr>
              <w:br/>
              <w:t>та визначається періодичність проведення</w:t>
            </w:r>
            <w:r w:rsidRPr="0032265E">
              <w:rPr>
                <w:rFonts w:ascii="Times New Roman" w:eastAsia="Times New Roman" w:hAnsi="Times New Roman" w:cs="Times New Roman"/>
                <w:sz w:val="24"/>
                <w:szCs w:val="24"/>
              </w:rPr>
              <w:br/>
              <w:t>планових заходів державного нагляду</w:t>
            </w:r>
            <w:r w:rsidRPr="0032265E">
              <w:rPr>
                <w:rFonts w:ascii="Times New Roman" w:eastAsia="Times New Roman" w:hAnsi="Times New Roman" w:cs="Times New Roman"/>
                <w:sz w:val="24"/>
                <w:szCs w:val="24"/>
              </w:rPr>
              <w:br/>
              <w:t>(контролю)</w:t>
            </w:r>
          </w:p>
        </w:tc>
      </w:tr>
    </w:tbl>
    <w:p w14:paraId="32643DEC"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59" w:name="n56"/>
      <w:bookmarkEnd w:id="59"/>
      <w:r w:rsidRPr="0032265E">
        <w:rPr>
          <w:rFonts w:ascii="Times New Roman" w:eastAsia="Times New Roman" w:hAnsi="Times New Roman" w:cs="Times New Roman"/>
          <w:b/>
          <w:bCs/>
          <w:color w:val="333333"/>
          <w:sz w:val="28"/>
          <w:szCs w:val="28"/>
        </w:rPr>
        <w:t>ФОРМА</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28"/>
          <w:szCs w:val="28"/>
        </w:rPr>
        <w:t>визначення вичерпного переліку критеріїв, їх показників, кількості балів за кожним показником, шкали балів та періодичності проведення планових заходів державного нагляду (контролю)</w:t>
      </w:r>
    </w:p>
    <w:p w14:paraId="4AA85AE1" w14:textId="77777777" w:rsidR="0032265E" w:rsidRPr="0032265E" w:rsidRDefault="0032265E" w:rsidP="0032265E">
      <w:pPr>
        <w:shd w:val="clear" w:color="auto" w:fill="FFFFFF"/>
        <w:spacing w:before="150" w:after="150" w:line="240" w:lineRule="auto"/>
        <w:rPr>
          <w:rFonts w:ascii="Times New Roman" w:eastAsia="Times New Roman" w:hAnsi="Times New Roman" w:cs="Times New Roman"/>
          <w:color w:val="333333"/>
          <w:sz w:val="24"/>
          <w:szCs w:val="24"/>
        </w:rPr>
      </w:pPr>
      <w:bookmarkStart w:id="60" w:name="n57"/>
      <w:bookmarkEnd w:id="60"/>
      <w:r w:rsidRPr="0032265E">
        <w:rPr>
          <w:rFonts w:ascii="Times New Roman" w:eastAsia="Times New Roman" w:hAnsi="Times New Roman" w:cs="Times New Roman"/>
          <w:color w:val="333333"/>
          <w:sz w:val="24"/>
          <w:szCs w:val="24"/>
        </w:rPr>
        <w:t>Сфера державного нагляду (контролю) ______________________________________</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00"/>
        <w:gridCol w:w="3587"/>
        <w:gridCol w:w="2642"/>
        <w:gridCol w:w="2831"/>
      </w:tblGrid>
      <w:tr w:rsidR="0032265E" w:rsidRPr="0032265E" w14:paraId="7EC65BAA" w14:textId="77777777" w:rsidTr="0032265E">
        <w:tc>
          <w:tcPr>
            <w:tcW w:w="2050" w:type="pct"/>
            <w:gridSpan w:val="2"/>
            <w:tcBorders>
              <w:top w:val="single" w:sz="6" w:space="0" w:color="000000"/>
              <w:left w:val="nil"/>
              <w:bottom w:val="single" w:sz="6" w:space="0" w:color="000000"/>
              <w:right w:val="single" w:sz="6" w:space="0" w:color="000000"/>
            </w:tcBorders>
            <w:hideMark/>
          </w:tcPr>
          <w:p w14:paraId="37B342E7"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bookmarkStart w:id="61" w:name="n58"/>
            <w:bookmarkEnd w:id="61"/>
            <w:r w:rsidRPr="0032265E">
              <w:rPr>
                <w:rFonts w:ascii="Times New Roman" w:eastAsia="Times New Roman" w:hAnsi="Times New Roman" w:cs="Times New Roman"/>
                <w:sz w:val="24"/>
                <w:szCs w:val="24"/>
              </w:rPr>
              <w:t xml:space="preserve">Критерії, за якими оцінюється ступінь ризику від провадження господарської діяльності та визначається періодичність </w:t>
            </w:r>
            <w:r w:rsidRPr="0032265E">
              <w:rPr>
                <w:rFonts w:ascii="Times New Roman" w:eastAsia="Times New Roman" w:hAnsi="Times New Roman" w:cs="Times New Roman"/>
                <w:sz w:val="24"/>
                <w:szCs w:val="24"/>
              </w:rPr>
              <w:lastRenderedPageBreak/>
              <w:t>проведення планових заходів державного нагляду (контролю)</w:t>
            </w:r>
          </w:p>
        </w:tc>
        <w:tc>
          <w:tcPr>
            <w:tcW w:w="1400" w:type="pct"/>
            <w:tcBorders>
              <w:top w:val="single" w:sz="6" w:space="0" w:color="000000"/>
              <w:left w:val="single" w:sz="6" w:space="0" w:color="000000"/>
              <w:bottom w:val="single" w:sz="6" w:space="0" w:color="000000"/>
              <w:right w:val="single" w:sz="6" w:space="0" w:color="000000"/>
            </w:tcBorders>
            <w:hideMark/>
          </w:tcPr>
          <w:p w14:paraId="731A7799"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lastRenderedPageBreak/>
              <w:t>Показники критеріїв</w:t>
            </w:r>
          </w:p>
        </w:tc>
        <w:tc>
          <w:tcPr>
            <w:tcW w:w="1500" w:type="pct"/>
            <w:tcBorders>
              <w:top w:val="single" w:sz="6" w:space="0" w:color="000000"/>
              <w:left w:val="single" w:sz="6" w:space="0" w:color="000000"/>
              <w:bottom w:val="single" w:sz="6" w:space="0" w:color="000000"/>
              <w:right w:val="nil"/>
            </w:tcBorders>
            <w:hideMark/>
          </w:tcPr>
          <w:p w14:paraId="596B270F"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Кількість балів*</w:t>
            </w:r>
          </w:p>
        </w:tc>
      </w:tr>
      <w:tr w:rsidR="0032265E" w:rsidRPr="0032265E" w14:paraId="4C95B0CD" w14:textId="77777777" w:rsidTr="0032265E">
        <w:tc>
          <w:tcPr>
            <w:tcW w:w="150" w:type="pct"/>
            <w:vMerge w:val="restart"/>
            <w:tcBorders>
              <w:top w:val="single" w:sz="6" w:space="0" w:color="000000"/>
              <w:left w:val="nil"/>
              <w:bottom w:val="nil"/>
              <w:right w:val="nil"/>
            </w:tcBorders>
            <w:hideMark/>
          </w:tcPr>
          <w:p w14:paraId="1AB77435"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1.</w:t>
            </w:r>
          </w:p>
        </w:tc>
        <w:tc>
          <w:tcPr>
            <w:tcW w:w="1850" w:type="pct"/>
            <w:vMerge w:val="restart"/>
            <w:tcBorders>
              <w:top w:val="single" w:sz="6" w:space="0" w:color="000000"/>
              <w:left w:val="nil"/>
              <w:bottom w:val="nil"/>
              <w:right w:val="nil"/>
            </w:tcBorders>
            <w:hideMark/>
          </w:tcPr>
          <w:p w14:paraId="0AF1DB04"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Критерій № 1</w:t>
            </w:r>
          </w:p>
        </w:tc>
        <w:tc>
          <w:tcPr>
            <w:tcW w:w="1400" w:type="pct"/>
            <w:tcBorders>
              <w:top w:val="single" w:sz="6" w:space="0" w:color="000000"/>
              <w:left w:val="nil"/>
              <w:bottom w:val="nil"/>
              <w:right w:val="nil"/>
            </w:tcBorders>
            <w:hideMark/>
          </w:tcPr>
          <w:p w14:paraId="7B6BE00C"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показник № 1.1</w:t>
            </w:r>
          </w:p>
        </w:tc>
        <w:tc>
          <w:tcPr>
            <w:tcW w:w="1500" w:type="pct"/>
            <w:tcBorders>
              <w:top w:val="single" w:sz="6" w:space="0" w:color="000000"/>
              <w:left w:val="nil"/>
              <w:bottom w:val="nil"/>
              <w:right w:val="nil"/>
            </w:tcBorders>
            <w:hideMark/>
          </w:tcPr>
          <w:p w14:paraId="747F2404"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470CEAFA" w14:textId="77777777" w:rsidTr="0032265E">
        <w:tc>
          <w:tcPr>
            <w:tcW w:w="0" w:type="auto"/>
            <w:vMerge/>
            <w:tcBorders>
              <w:top w:val="single" w:sz="6" w:space="0" w:color="000000"/>
              <w:left w:val="nil"/>
              <w:bottom w:val="nil"/>
              <w:right w:val="nil"/>
            </w:tcBorders>
            <w:hideMark/>
          </w:tcPr>
          <w:p w14:paraId="25AC9259"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nil"/>
              <w:bottom w:val="nil"/>
              <w:right w:val="nil"/>
            </w:tcBorders>
            <w:hideMark/>
          </w:tcPr>
          <w:p w14:paraId="68772D0E"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400" w:type="pct"/>
            <w:tcBorders>
              <w:top w:val="nil"/>
              <w:left w:val="nil"/>
              <w:bottom w:val="nil"/>
              <w:right w:val="nil"/>
            </w:tcBorders>
            <w:hideMark/>
          </w:tcPr>
          <w:p w14:paraId="3F08724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показник № </w:t>
            </w:r>
            <w:proofErr w:type="gramStart"/>
            <w:r w:rsidRPr="0032265E">
              <w:rPr>
                <w:rFonts w:ascii="Times New Roman" w:eastAsia="Times New Roman" w:hAnsi="Times New Roman" w:cs="Times New Roman"/>
                <w:sz w:val="24"/>
                <w:szCs w:val="24"/>
              </w:rPr>
              <w:t>1.х</w:t>
            </w:r>
            <w:proofErr w:type="gramEnd"/>
          </w:p>
        </w:tc>
        <w:tc>
          <w:tcPr>
            <w:tcW w:w="1500" w:type="pct"/>
            <w:tcBorders>
              <w:top w:val="nil"/>
              <w:left w:val="nil"/>
              <w:bottom w:val="nil"/>
              <w:right w:val="nil"/>
            </w:tcBorders>
            <w:hideMark/>
          </w:tcPr>
          <w:p w14:paraId="4215528E"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1FE6637A" w14:textId="77777777" w:rsidTr="0032265E">
        <w:tc>
          <w:tcPr>
            <w:tcW w:w="150" w:type="pct"/>
            <w:vMerge w:val="restart"/>
            <w:tcBorders>
              <w:top w:val="nil"/>
              <w:left w:val="nil"/>
              <w:bottom w:val="nil"/>
              <w:right w:val="nil"/>
            </w:tcBorders>
            <w:hideMark/>
          </w:tcPr>
          <w:p w14:paraId="559F470B"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2.</w:t>
            </w:r>
          </w:p>
        </w:tc>
        <w:tc>
          <w:tcPr>
            <w:tcW w:w="1850" w:type="pct"/>
            <w:vMerge w:val="restart"/>
            <w:tcBorders>
              <w:top w:val="nil"/>
              <w:left w:val="nil"/>
              <w:bottom w:val="nil"/>
              <w:right w:val="nil"/>
            </w:tcBorders>
            <w:hideMark/>
          </w:tcPr>
          <w:p w14:paraId="5A75631C"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Критерій № n</w:t>
            </w:r>
          </w:p>
        </w:tc>
        <w:tc>
          <w:tcPr>
            <w:tcW w:w="1400" w:type="pct"/>
            <w:tcBorders>
              <w:top w:val="nil"/>
              <w:left w:val="nil"/>
              <w:bottom w:val="nil"/>
              <w:right w:val="nil"/>
            </w:tcBorders>
            <w:hideMark/>
          </w:tcPr>
          <w:p w14:paraId="64681B83"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показник № n.1</w:t>
            </w:r>
          </w:p>
        </w:tc>
        <w:tc>
          <w:tcPr>
            <w:tcW w:w="1500" w:type="pct"/>
            <w:tcBorders>
              <w:top w:val="nil"/>
              <w:left w:val="nil"/>
              <w:bottom w:val="nil"/>
              <w:right w:val="nil"/>
            </w:tcBorders>
            <w:hideMark/>
          </w:tcPr>
          <w:p w14:paraId="08F4517A"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r w:rsidR="0032265E" w:rsidRPr="0032265E" w14:paraId="0CEC3B83" w14:textId="77777777" w:rsidTr="0032265E">
        <w:tc>
          <w:tcPr>
            <w:tcW w:w="0" w:type="auto"/>
            <w:vMerge/>
            <w:tcBorders>
              <w:top w:val="nil"/>
              <w:left w:val="nil"/>
              <w:bottom w:val="nil"/>
              <w:right w:val="nil"/>
            </w:tcBorders>
            <w:hideMark/>
          </w:tcPr>
          <w:p w14:paraId="648314F6"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hideMark/>
          </w:tcPr>
          <w:p w14:paraId="13C812D0"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400" w:type="pct"/>
            <w:tcBorders>
              <w:top w:val="nil"/>
              <w:left w:val="nil"/>
              <w:bottom w:val="nil"/>
              <w:right w:val="nil"/>
            </w:tcBorders>
            <w:hideMark/>
          </w:tcPr>
          <w:p w14:paraId="7D86692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показник № n.х</w:t>
            </w:r>
          </w:p>
        </w:tc>
        <w:tc>
          <w:tcPr>
            <w:tcW w:w="1500" w:type="pct"/>
            <w:tcBorders>
              <w:top w:val="nil"/>
              <w:left w:val="nil"/>
              <w:bottom w:val="nil"/>
              <w:right w:val="nil"/>
            </w:tcBorders>
            <w:hideMark/>
          </w:tcPr>
          <w:p w14:paraId="287E360C"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p>
        </w:tc>
      </w:tr>
    </w:tbl>
    <w:p w14:paraId="5DB3B933" w14:textId="77777777" w:rsidR="0032265E" w:rsidRPr="0032265E" w:rsidRDefault="0032265E" w:rsidP="0032265E">
      <w:pPr>
        <w:shd w:val="clear" w:color="auto" w:fill="FFFFFF"/>
        <w:spacing w:before="150" w:after="150" w:line="240" w:lineRule="auto"/>
        <w:rPr>
          <w:rFonts w:ascii="Times New Roman" w:eastAsia="Times New Roman" w:hAnsi="Times New Roman" w:cs="Times New Roman"/>
          <w:color w:val="333333"/>
          <w:sz w:val="24"/>
          <w:szCs w:val="24"/>
        </w:rPr>
      </w:pPr>
      <w:bookmarkStart w:id="62" w:name="n59"/>
      <w:bookmarkEnd w:id="62"/>
      <w:r w:rsidRPr="0032265E">
        <w:rPr>
          <w:rFonts w:ascii="Times New Roman" w:eastAsia="Times New Roman" w:hAnsi="Times New Roman" w:cs="Times New Roman"/>
          <w:color w:val="333333"/>
          <w:sz w:val="20"/>
          <w:szCs w:val="20"/>
        </w:rPr>
        <w:t>__________</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color w:val="333333"/>
          <w:sz w:val="20"/>
          <w:szCs w:val="20"/>
        </w:rPr>
        <w:t>* Кількість балів, що нараховується за кожним показником критеріїв, повинна відображати ступінь відповідного ризику.</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2647"/>
        <w:gridCol w:w="3121"/>
        <w:gridCol w:w="3592"/>
      </w:tblGrid>
      <w:tr w:rsidR="0032265E" w:rsidRPr="0032265E" w14:paraId="55803B12" w14:textId="77777777" w:rsidTr="0032265E">
        <w:trPr>
          <w:trHeight w:val="975"/>
        </w:trPr>
        <w:tc>
          <w:tcPr>
            <w:tcW w:w="1400" w:type="pct"/>
            <w:tcBorders>
              <w:top w:val="single" w:sz="6" w:space="0" w:color="000000"/>
              <w:left w:val="nil"/>
              <w:bottom w:val="single" w:sz="6" w:space="0" w:color="000000"/>
              <w:right w:val="single" w:sz="6" w:space="0" w:color="000000"/>
            </w:tcBorders>
            <w:hideMark/>
          </w:tcPr>
          <w:p w14:paraId="52D4C499"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bookmarkStart w:id="63" w:name="n60"/>
            <w:bookmarkEnd w:id="63"/>
            <w:r w:rsidRPr="0032265E">
              <w:rPr>
                <w:rFonts w:ascii="Times New Roman" w:eastAsia="Times New Roman" w:hAnsi="Times New Roman" w:cs="Times New Roman"/>
                <w:sz w:val="24"/>
                <w:szCs w:val="24"/>
              </w:rPr>
              <w:t>Шкала балів</w:t>
            </w:r>
          </w:p>
        </w:tc>
        <w:tc>
          <w:tcPr>
            <w:tcW w:w="1650" w:type="pct"/>
            <w:tcBorders>
              <w:top w:val="single" w:sz="6" w:space="0" w:color="000000"/>
              <w:left w:val="single" w:sz="6" w:space="0" w:color="000000"/>
              <w:bottom w:val="single" w:sz="6" w:space="0" w:color="000000"/>
              <w:right w:val="single" w:sz="6" w:space="0" w:color="000000"/>
            </w:tcBorders>
            <w:hideMark/>
          </w:tcPr>
          <w:p w14:paraId="47871113"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Ступінь ризику від провадження господарської діяльності</w:t>
            </w:r>
          </w:p>
        </w:tc>
        <w:tc>
          <w:tcPr>
            <w:tcW w:w="1900" w:type="pct"/>
            <w:tcBorders>
              <w:top w:val="single" w:sz="6" w:space="0" w:color="000000"/>
              <w:left w:val="single" w:sz="6" w:space="0" w:color="000000"/>
              <w:bottom w:val="single" w:sz="6" w:space="0" w:color="000000"/>
              <w:right w:val="nil"/>
            </w:tcBorders>
            <w:hideMark/>
          </w:tcPr>
          <w:p w14:paraId="23A6EA88"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Періодичність проведення планових заходів державного нагляду (контролю)</w:t>
            </w:r>
          </w:p>
        </w:tc>
      </w:tr>
      <w:tr w:rsidR="0032265E" w:rsidRPr="0032265E" w14:paraId="75D2426D" w14:textId="77777777" w:rsidTr="0032265E">
        <w:tc>
          <w:tcPr>
            <w:tcW w:w="1400" w:type="pct"/>
            <w:tcBorders>
              <w:top w:val="single" w:sz="6" w:space="0" w:color="000000"/>
              <w:left w:val="nil"/>
              <w:bottom w:val="nil"/>
              <w:right w:val="nil"/>
            </w:tcBorders>
            <w:hideMark/>
          </w:tcPr>
          <w:p w14:paraId="33670F4F"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Від 41 до 100</w:t>
            </w:r>
          </w:p>
        </w:tc>
        <w:tc>
          <w:tcPr>
            <w:tcW w:w="1650" w:type="pct"/>
            <w:tcBorders>
              <w:top w:val="single" w:sz="6" w:space="0" w:color="000000"/>
              <w:left w:val="nil"/>
              <w:bottom w:val="nil"/>
              <w:right w:val="nil"/>
            </w:tcBorders>
            <w:hideMark/>
          </w:tcPr>
          <w:p w14:paraId="13C32783"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високий ризик</w:t>
            </w:r>
          </w:p>
        </w:tc>
        <w:tc>
          <w:tcPr>
            <w:tcW w:w="1900" w:type="pct"/>
            <w:tcBorders>
              <w:top w:val="single" w:sz="6" w:space="0" w:color="000000"/>
              <w:left w:val="nil"/>
              <w:bottom w:val="nil"/>
              <w:right w:val="nil"/>
            </w:tcBorders>
            <w:hideMark/>
          </w:tcPr>
          <w:p w14:paraId="40CF8FF3"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один раз на ____ роки</w:t>
            </w:r>
          </w:p>
        </w:tc>
      </w:tr>
      <w:tr w:rsidR="0032265E" w:rsidRPr="0032265E" w14:paraId="7F05D2CC" w14:textId="77777777" w:rsidTr="0032265E">
        <w:tc>
          <w:tcPr>
            <w:tcW w:w="1400" w:type="pct"/>
            <w:tcBorders>
              <w:top w:val="nil"/>
              <w:left w:val="nil"/>
              <w:bottom w:val="nil"/>
              <w:right w:val="nil"/>
            </w:tcBorders>
            <w:hideMark/>
          </w:tcPr>
          <w:p w14:paraId="1E4B580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Від 21 до 40</w:t>
            </w:r>
          </w:p>
        </w:tc>
        <w:tc>
          <w:tcPr>
            <w:tcW w:w="1650" w:type="pct"/>
            <w:tcBorders>
              <w:top w:val="nil"/>
              <w:left w:val="nil"/>
              <w:bottom w:val="nil"/>
              <w:right w:val="nil"/>
            </w:tcBorders>
            <w:hideMark/>
          </w:tcPr>
          <w:p w14:paraId="4B7D6EFE"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середній ризик</w:t>
            </w:r>
          </w:p>
        </w:tc>
        <w:tc>
          <w:tcPr>
            <w:tcW w:w="1900" w:type="pct"/>
            <w:tcBorders>
              <w:top w:val="nil"/>
              <w:left w:val="nil"/>
              <w:bottom w:val="nil"/>
              <w:right w:val="nil"/>
            </w:tcBorders>
            <w:hideMark/>
          </w:tcPr>
          <w:p w14:paraId="2617EDAD"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один раз на ____ роки</w:t>
            </w:r>
          </w:p>
        </w:tc>
      </w:tr>
      <w:tr w:rsidR="0032265E" w:rsidRPr="0032265E" w14:paraId="679BDDB3" w14:textId="77777777" w:rsidTr="0032265E">
        <w:trPr>
          <w:trHeight w:val="390"/>
        </w:trPr>
        <w:tc>
          <w:tcPr>
            <w:tcW w:w="1400" w:type="pct"/>
            <w:tcBorders>
              <w:top w:val="nil"/>
              <w:left w:val="nil"/>
              <w:bottom w:val="nil"/>
              <w:right w:val="nil"/>
            </w:tcBorders>
            <w:hideMark/>
          </w:tcPr>
          <w:p w14:paraId="1D74CAD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Від 0 до 20</w:t>
            </w:r>
          </w:p>
        </w:tc>
        <w:tc>
          <w:tcPr>
            <w:tcW w:w="1650" w:type="pct"/>
            <w:tcBorders>
              <w:top w:val="nil"/>
              <w:left w:val="nil"/>
              <w:bottom w:val="nil"/>
              <w:right w:val="nil"/>
            </w:tcBorders>
            <w:hideMark/>
          </w:tcPr>
          <w:p w14:paraId="2496F905"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незначний ризик</w:t>
            </w:r>
          </w:p>
        </w:tc>
        <w:tc>
          <w:tcPr>
            <w:tcW w:w="1900" w:type="pct"/>
            <w:tcBorders>
              <w:top w:val="nil"/>
              <w:left w:val="nil"/>
              <w:bottom w:val="nil"/>
              <w:right w:val="nil"/>
            </w:tcBorders>
            <w:hideMark/>
          </w:tcPr>
          <w:p w14:paraId="4EDBF6E7"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один раз на ____ роки</w:t>
            </w:r>
          </w:p>
        </w:tc>
      </w:tr>
    </w:tbl>
    <w:p w14:paraId="6194F770"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64" w:name="n94"/>
      <w:bookmarkEnd w:id="64"/>
      <w:r w:rsidRPr="0032265E">
        <w:rPr>
          <w:rFonts w:ascii="Times New Roman" w:eastAsia="Times New Roman" w:hAnsi="Times New Roman" w:cs="Times New Roman"/>
          <w:sz w:val="24"/>
          <w:szCs w:val="24"/>
        </w:rPr>
        <w:pict w14:anchorId="3D19EC9F">
          <v:rect id="_x0000_i1028"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2"/>
        <w:gridCol w:w="5612"/>
      </w:tblGrid>
      <w:tr w:rsidR="0032265E" w:rsidRPr="0032265E" w14:paraId="71680D31"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2AE5749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65" w:name="n61"/>
            <w:bookmarkEnd w:id="65"/>
            <w:r w:rsidRPr="0032265E">
              <w:rPr>
                <w:rFonts w:ascii="Times New Roman" w:eastAsia="Times New Roman" w:hAnsi="Times New Roman" w:cs="Times New Roman"/>
                <w:b/>
                <w:bCs/>
                <w:sz w:val="24"/>
                <w:szCs w:val="24"/>
              </w:rPr>
              <w:br/>
            </w:r>
          </w:p>
        </w:tc>
        <w:tc>
          <w:tcPr>
            <w:tcW w:w="3000" w:type="pct"/>
            <w:tcBorders>
              <w:top w:val="single" w:sz="2" w:space="0" w:color="auto"/>
              <w:left w:val="single" w:sz="2" w:space="0" w:color="auto"/>
              <w:bottom w:val="single" w:sz="2" w:space="0" w:color="auto"/>
              <w:right w:val="single" w:sz="2" w:space="0" w:color="auto"/>
            </w:tcBorders>
            <w:hideMark/>
          </w:tcPr>
          <w:p w14:paraId="3FB72DE2"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ЗАТВЕРДЖЕНО</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постановою Кабінету Міністрів України</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від 10 травня 2018 р. № 342</w:t>
            </w:r>
          </w:p>
        </w:tc>
      </w:tr>
    </w:tbl>
    <w:p w14:paraId="3FCF05B0" w14:textId="77777777" w:rsidR="0032265E" w:rsidRPr="0032265E" w:rsidRDefault="0032265E" w:rsidP="0032265E">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rPr>
      </w:pPr>
      <w:bookmarkStart w:id="66" w:name="n62"/>
      <w:bookmarkEnd w:id="66"/>
      <w:r w:rsidRPr="0032265E">
        <w:rPr>
          <w:rFonts w:ascii="Times New Roman" w:eastAsia="Times New Roman" w:hAnsi="Times New Roman" w:cs="Times New Roman"/>
          <w:b/>
          <w:bCs/>
          <w:color w:val="333333"/>
          <w:sz w:val="32"/>
          <w:szCs w:val="32"/>
        </w:rPr>
        <w:t>МЕТОДИКА</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32"/>
          <w:szCs w:val="32"/>
        </w:rPr>
        <w:t xml:space="preserve">розроблення уніфікованих форм актів, що </w:t>
      </w:r>
      <w:proofErr w:type="gramStart"/>
      <w:r w:rsidRPr="0032265E">
        <w:rPr>
          <w:rFonts w:ascii="Times New Roman" w:eastAsia="Times New Roman" w:hAnsi="Times New Roman" w:cs="Times New Roman"/>
          <w:b/>
          <w:bCs/>
          <w:color w:val="333333"/>
          <w:sz w:val="32"/>
          <w:szCs w:val="32"/>
        </w:rPr>
        <w:t>складаються  за</w:t>
      </w:r>
      <w:proofErr w:type="gramEnd"/>
      <w:r w:rsidRPr="0032265E">
        <w:rPr>
          <w:rFonts w:ascii="Times New Roman" w:eastAsia="Times New Roman" w:hAnsi="Times New Roman" w:cs="Times New Roman"/>
          <w:b/>
          <w:bCs/>
          <w:color w:val="333333"/>
          <w:sz w:val="32"/>
          <w:szCs w:val="32"/>
        </w:rPr>
        <w:t xml:space="preserve"> результатами проведення планових (позапланових) заходів державного нагляду (контролю)</w:t>
      </w:r>
    </w:p>
    <w:p w14:paraId="041A1891"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67" w:name="n63"/>
      <w:bookmarkEnd w:id="67"/>
      <w:r w:rsidRPr="0032265E">
        <w:rPr>
          <w:rFonts w:ascii="Times New Roman" w:eastAsia="Times New Roman" w:hAnsi="Times New Roman" w:cs="Times New Roman"/>
          <w:b/>
          <w:bCs/>
          <w:color w:val="333333"/>
          <w:sz w:val="28"/>
          <w:szCs w:val="28"/>
        </w:rPr>
        <w:t>Загальні положення</w:t>
      </w:r>
    </w:p>
    <w:p w14:paraId="782D2E2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68" w:name="n64"/>
      <w:bookmarkEnd w:id="68"/>
      <w:r w:rsidRPr="0032265E">
        <w:rPr>
          <w:rFonts w:ascii="Times New Roman" w:eastAsia="Times New Roman" w:hAnsi="Times New Roman" w:cs="Times New Roman"/>
          <w:color w:val="333333"/>
          <w:sz w:val="24"/>
          <w:szCs w:val="24"/>
        </w:rPr>
        <w:t xml:space="preserve">1. Ця Методика встановлює єдиний підхід до розроблення органами державного нагляду (контролю) уніфікованих форм актів, що складаються за результатами проведення </w:t>
      </w:r>
      <w:r w:rsidRPr="0032265E">
        <w:rPr>
          <w:rFonts w:ascii="Times New Roman" w:eastAsia="Times New Roman" w:hAnsi="Times New Roman" w:cs="Times New Roman"/>
          <w:color w:val="333333"/>
          <w:sz w:val="24"/>
          <w:szCs w:val="24"/>
        </w:rPr>
        <w:lastRenderedPageBreak/>
        <w:t>планових (позапланових) заходів державного нагляду (контролю) (далі - уніфікована форма акта перевірки).</w:t>
      </w:r>
    </w:p>
    <w:p w14:paraId="78510A00"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69" w:name="n65"/>
      <w:bookmarkEnd w:id="69"/>
      <w:r w:rsidRPr="0032265E">
        <w:rPr>
          <w:rFonts w:ascii="Times New Roman" w:eastAsia="Times New Roman" w:hAnsi="Times New Roman" w:cs="Times New Roman"/>
          <w:color w:val="333333"/>
          <w:sz w:val="24"/>
          <w:szCs w:val="24"/>
        </w:rPr>
        <w:t>2. Уніфікована форма акта перевірки розробляється органом державного нагляду (контролю) та оприлюднюється на його офіційному веб-сайті протягом п’яти робочих днів з дня її затвердження.</w:t>
      </w:r>
    </w:p>
    <w:p w14:paraId="57F98EDF"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0" w:name="n66"/>
      <w:bookmarkEnd w:id="70"/>
      <w:r w:rsidRPr="0032265E">
        <w:rPr>
          <w:rFonts w:ascii="Times New Roman" w:eastAsia="Times New Roman" w:hAnsi="Times New Roman" w:cs="Times New Roman"/>
          <w:color w:val="333333"/>
          <w:sz w:val="24"/>
          <w:szCs w:val="24"/>
        </w:rPr>
        <w:t>У разі коли органами, уповноваженими здійснювати державний нагляд (контроль) у відповідних сферах, є місцеві держадміністрації та/або органи місцевого самоврядування, уніфіковані форми актів перевірок затверджуються центральними органами виконавчої влади, що забезпечують формування державної політики у відповідних сферах.</w:t>
      </w:r>
    </w:p>
    <w:p w14:paraId="1BEAD802"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1" w:name="n67"/>
      <w:bookmarkEnd w:id="71"/>
      <w:r w:rsidRPr="0032265E">
        <w:rPr>
          <w:rFonts w:ascii="Times New Roman" w:eastAsia="Times New Roman" w:hAnsi="Times New Roman" w:cs="Times New Roman"/>
          <w:color w:val="333333"/>
          <w:sz w:val="24"/>
          <w:szCs w:val="24"/>
        </w:rPr>
        <w:t>3. Перелік питань для здійснення заходу державного нагляду (контролю) визначається органом державного нагляду (контролю) залежно від ступеня ризику шляхом проведення аналізу вимог законодавства, яких повинен дотримуватися суб’єкт господарювання у відповідній сфері, за формою згідно з </w:t>
      </w:r>
      <w:hyperlink r:id="rId14" w:anchor="n81" w:history="1">
        <w:r w:rsidRPr="0032265E">
          <w:rPr>
            <w:rFonts w:ascii="Times New Roman" w:eastAsia="Times New Roman" w:hAnsi="Times New Roman" w:cs="Times New Roman"/>
            <w:color w:val="006600"/>
            <w:sz w:val="24"/>
            <w:szCs w:val="24"/>
            <w:u w:val="single"/>
          </w:rPr>
          <w:t>додатком 1</w:t>
        </w:r>
      </w:hyperlink>
      <w:r w:rsidRPr="0032265E">
        <w:rPr>
          <w:rFonts w:ascii="Times New Roman" w:eastAsia="Times New Roman" w:hAnsi="Times New Roman" w:cs="Times New Roman"/>
          <w:color w:val="333333"/>
          <w:sz w:val="24"/>
          <w:szCs w:val="24"/>
        </w:rPr>
        <w:t> в електронному вигляді та оприлюднюється на офіційному веб-сайті відповідного органу державного нагляду (контролю).</w:t>
      </w:r>
    </w:p>
    <w:p w14:paraId="1B6D73C9"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2" w:name="n68"/>
      <w:bookmarkEnd w:id="72"/>
      <w:r w:rsidRPr="0032265E">
        <w:rPr>
          <w:rFonts w:ascii="Times New Roman" w:eastAsia="Times New Roman" w:hAnsi="Times New Roman" w:cs="Times New Roman"/>
          <w:color w:val="333333"/>
          <w:sz w:val="24"/>
          <w:szCs w:val="24"/>
        </w:rPr>
        <w:t>4. Перегляд уніфікованої форми акта перевірки, зокрема переліку питань щодо проведення заходу державного нагляду (контролю), здійснюється у разі внесення змін до нормативно-правових актів, на підставі яких розроблений перелік питань щодо проведення заходу державного нагляду (контролю), або прийняття нових нормативно-правових актів у відповідній сфері державного нагляду (контролю).</w:t>
      </w:r>
    </w:p>
    <w:p w14:paraId="50FF9C31"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73" w:name="n69"/>
      <w:bookmarkEnd w:id="73"/>
      <w:r w:rsidRPr="0032265E">
        <w:rPr>
          <w:rFonts w:ascii="Times New Roman" w:eastAsia="Times New Roman" w:hAnsi="Times New Roman" w:cs="Times New Roman"/>
          <w:b/>
          <w:bCs/>
          <w:color w:val="333333"/>
          <w:sz w:val="28"/>
          <w:szCs w:val="28"/>
        </w:rPr>
        <w:t>Вимоги до складення уніфікованої форми акта перевірки</w:t>
      </w:r>
    </w:p>
    <w:p w14:paraId="7917EA26"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4" w:name="n70"/>
      <w:bookmarkEnd w:id="74"/>
      <w:r w:rsidRPr="0032265E">
        <w:rPr>
          <w:rFonts w:ascii="Times New Roman" w:eastAsia="Times New Roman" w:hAnsi="Times New Roman" w:cs="Times New Roman"/>
          <w:color w:val="333333"/>
          <w:sz w:val="24"/>
          <w:szCs w:val="24"/>
        </w:rPr>
        <w:t>5. Уніфікована форма акта перевірки складається з:</w:t>
      </w:r>
    </w:p>
    <w:p w14:paraId="257EB8A8"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5" w:name="n71"/>
      <w:bookmarkEnd w:id="75"/>
      <w:r w:rsidRPr="0032265E">
        <w:rPr>
          <w:rFonts w:ascii="Times New Roman" w:eastAsia="Times New Roman" w:hAnsi="Times New Roman" w:cs="Times New Roman"/>
          <w:color w:val="333333"/>
          <w:sz w:val="24"/>
          <w:szCs w:val="24"/>
        </w:rPr>
        <w:t>1) титульного аркуша;</w:t>
      </w:r>
    </w:p>
    <w:p w14:paraId="097EBA75"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6" w:name="n72"/>
      <w:bookmarkEnd w:id="76"/>
      <w:r w:rsidRPr="0032265E">
        <w:rPr>
          <w:rFonts w:ascii="Times New Roman" w:eastAsia="Times New Roman" w:hAnsi="Times New Roman" w:cs="Times New Roman"/>
          <w:color w:val="333333"/>
          <w:sz w:val="24"/>
          <w:szCs w:val="24"/>
        </w:rPr>
        <w:t>2) переліку питань щодо проведення заходу державного нагляду (контролю);</w:t>
      </w:r>
    </w:p>
    <w:p w14:paraId="5DC3E189"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7" w:name="n73"/>
      <w:bookmarkEnd w:id="77"/>
      <w:r w:rsidRPr="0032265E">
        <w:rPr>
          <w:rFonts w:ascii="Times New Roman" w:eastAsia="Times New Roman" w:hAnsi="Times New Roman" w:cs="Times New Roman"/>
          <w:color w:val="333333"/>
          <w:sz w:val="24"/>
          <w:szCs w:val="24"/>
        </w:rPr>
        <w:t>3) переліку нормативно-правових актів, відповідно до яких складено перелік питань щодо проведення заходу державного нагляду (контролю) (за наявності більше 10 нормативно-правових актів перелік може складатися окремим додатком до уніфікованої форми акта перевірки);</w:t>
      </w:r>
    </w:p>
    <w:p w14:paraId="3EB0261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8" w:name="n74"/>
      <w:bookmarkEnd w:id="78"/>
      <w:r w:rsidRPr="0032265E">
        <w:rPr>
          <w:rFonts w:ascii="Times New Roman" w:eastAsia="Times New Roman" w:hAnsi="Times New Roman" w:cs="Times New Roman"/>
          <w:color w:val="333333"/>
          <w:sz w:val="24"/>
          <w:szCs w:val="24"/>
        </w:rPr>
        <w:t>4) опису виявлених порушень вимог законодавства;</w:t>
      </w:r>
    </w:p>
    <w:p w14:paraId="06B28B6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79" w:name="n75"/>
      <w:bookmarkEnd w:id="79"/>
      <w:r w:rsidRPr="0032265E">
        <w:rPr>
          <w:rFonts w:ascii="Times New Roman" w:eastAsia="Times New Roman" w:hAnsi="Times New Roman" w:cs="Times New Roman"/>
          <w:color w:val="333333"/>
          <w:sz w:val="24"/>
          <w:szCs w:val="24"/>
        </w:rPr>
        <w:t>5) переліку питань для суб’єктів господарювання щодо здійснення контролю за діями (бездіяльністю) посадових осіб органу державного нагляду (контролю);</w:t>
      </w:r>
    </w:p>
    <w:p w14:paraId="0A9B1E6E"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80" w:name="n76"/>
      <w:bookmarkEnd w:id="80"/>
      <w:r w:rsidRPr="0032265E">
        <w:rPr>
          <w:rFonts w:ascii="Times New Roman" w:eastAsia="Times New Roman" w:hAnsi="Times New Roman" w:cs="Times New Roman"/>
          <w:color w:val="333333"/>
          <w:sz w:val="24"/>
          <w:szCs w:val="24"/>
        </w:rPr>
        <w:t>6) пояснення, зауваження або заперечення щодо проведеного заходу державного нагляду (контролю) та складеного за його результатами акта;</w:t>
      </w:r>
    </w:p>
    <w:p w14:paraId="7BEB08EC"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81" w:name="n77"/>
      <w:bookmarkEnd w:id="81"/>
      <w:r w:rsidRPr="0032265E">
        <w:rPr>
          <w:rFonts w:ascii="Times New Roman" w:eastAsia="Times New Roman" w:hAnsi="Times New Roman" w:cs="Times New Roman"/>
          <w:color w:val="333333"/>
          <w:sz w:val="24"/>
          <w:szCs w:val="24"/>
        </w:rPr>
        <w:t>7) оцінки суб’єкта господарювання щодо професійного рівня посадових осіб органу державного нагляду (контролю), які проводили захід державного нагляду (контролю);</w:t>
      </w:r>
    </w:p>
    <w:p w14:paraId="02C230F6"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82" w:name="n78"/>
      <w:bookmarkEnd w:id="82"/>
      <w:r w:rsidRPr="0032265E">
        <w:rPr>
          <w:rFonts w:ascii="Times New Roman" w:eastAsia="Times New Roman" w:hAnsi="Times New Roman" w:cs="Times New Roman"/>
          <w:color w:val="333333"/>
          <w:sz w:val="24"/>
          <w:szCs w:val="24"/>
        </w:rPr>
        <w:t>8) місця для підписів посадових осіб органу державного нагляду (контролю), керівника суб’єкта господарювання або уповноваженої ним особи, а також третіх осіб, які брали участь у заході державного нагляду (контролю).</w:t>
      </w:r>
    </w:p>
    <w:p w14:paraId="6EDCFE25"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83" w:name="n79"/>
      <w:bookmarkEnd w:id="83"/>
      <w:r w:rsidRPr="0032265E">
        <w:rPr>
          <w:rFonts w:ascii="Times New Roman" w:eastAsia="Times New Roman" w:hAnsi="Times New Roman" w:cs="Times New Roman"/>
          <w:color w:val="333333"/>
          <w:sz w:val="24"/>
          <w:szCs w:val="24"/>
        </w:rPr>
        <w:lastRenderedPageBreak/>
        <w:t>6. Уніфікована форма акта перевірки розробляється згідно з </w:t>
      </w:r>
      <w:hyperlink r:id="rId15" w:anchor="n85" w:history="1">
        <w:r w:rsidRPr="0032265E">
          <w:rPr>
            <w:rFonts w:ascii="Times New Roman" w:eastAsia="Times New Roman" w:hAnsi="Times New Roman" w:cs="Times New Roman"/>
            <w:color w:val="006600"/>
            <w:sz w:val="24"/>
            <w:szCs w:val="24"/>
            <w:u w:val="single"/>
          </w:rPr>
          <w:t>додатком 2</w:t>
        </w:r>
      </w:hyperlink>
      <w:r w:rsidRPr="0032265E">
        <w:rPr>
          <w:rFonts w:ascii="Times New Roman" w:eastAsia="Times New Roman" w:hAnsi="Times New Roman" w:cs="Times New Roman"/>
          <w:color w:val="333333"/>
          <w:sz w:val="24"/>
          <w:szCs w:val="24"/>
        </w:rPr>
        <w:t>.</w:t>
      </w:r>
    </w:p>
    <w:p w14:paraId="2F0EB4CD"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84" w:name="n95"/>
      <w:bookmarkEnd w:id="84"/>
      <w:r w:rsidRPr="0032265E">
        <w:rPr>
          <w:rFonts w:ascii="Times New Roman" w:eastAsia="Times New Roman" w:hAnsi="Times New Roman" w:cs="Times New Roman"/>
          <w:sz w:val="24"/>
          <w:szCs w:val="24"/>
        </w:rPr>
        <w:pict w14:anchorId="269775E4">
          <v:rect id="_x0000_i1029"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351"/>
        <w:gridCol w:w="5003"/>
      </w:tblGrid>
      <w:tr w:rsidR="0032265E" w:rsidRPr="0032265E" w14:paraId="13320416"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623AE17B"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85" w:name="n80"/>
            <w:bookmarkEnd w:id="85"/>
          </w:p>
        </w:tc>
        <w:tc>
          <w:tcPr>
            <w:tcW w:w="2300" w:type="pct"/>
            <w:tcBorders>
              <w:top w:val="single" w:sz="2" w:space="0" w:color="auto"/>
              <w:left w:val="single" w:sz="2" w:space="0" w:color="auto"/>
              <w:bottom w:val="single" w:sz="2" w:space="0" w:color="auto"/>
              <w:right w:val="single" w:sz="2" w:space="0" w:color="auto"/>
            </w:tcBorders>
            <w:hideMark/>
          </w:tcPr>
          <w:p w14:paraId="07E910B1"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Додаток 1</w:t>
            </w:r>
            <w:r w:rsidRPr="0032265E">
              <w:rPr>
                <w:rFonts w:ascii="Times New Roman" w:eastAsia="Times New Roman" w:hAnsi="Times New Roman" w:cs="Times New Roman"/>
                <w:sz w:val="24"/>
                <w:szCs w:val="24"/>
              </w:rPr>
              <w:br/>
              <w:t>до Методики розроблення уніфікованих</w:t>
            </w:r>
            <w:r w:rsidRPr="0032265E">
              <w:rPr>
                <w:rFonts w:ascii="Times New Roman" w:eastAsia="Times New Roman" w:hAnsi="Times New Roman" w:cs="Times New Roman"/>
                <w:sz w:val="24"/>
                <w:szCs w:val="24"/>
              </w:rPr>
              <w:br/>
              <w:t>форм актів, що складаються за результатами</w:t>
            </w:r>
            <w:r w:rsidRPr="0032265E">
              <w:rPr>
                <w:rFonts w:ascii="Times New Roman" w:eastAsia="Times New Roman" w:hAnsi="Times New Roman" w:cs="Times New Roman"/>
                <w:sz w:val="24"/>
                <w:szCs w:val="24"/>
              </w:rPr>
              <w:br/>
              <w:t>проведення планових (позапланових)</w:t>
            </w:r>
            <w:r w:rsidRPr="0032265E">
              <w:rPr>
                <w:rFonts w:ascii="Times New Roman" w:eastAsia="Times New Roman" w:hAnsi="Times New Roman" w:cs="Times New Roman"/>
                <w:sz w:val="24"/>
                <w:szCs w:val="24"/>
              </w:rPr>
              <w:br/>
              <w:t>заходів державного нагляду (контролю)</w:t>
            </w:r>
          </w:p>
        </w:tc>
      </w:tr>
    </w:tbl>
    <w:p w14:paraId="00D372CC"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bookmarkStart w:id="86" w:name="n81"/>
      <w:bookmarkEnd w:id="86"/>
      <w:r w:rsidRPr="0032265E">
        <w:rPr>
          <w:rFonts w:ascii="Times New Roman" w:eastAsia="Times New Roman" w:hAnsi="Times New Roman" w:cs="Times New Roman"/>
          <w:b/>
          <w:bCs/>
          <w:color w:val="333333"/>
          <w:sz w:val="28"/>
          <w:szCs w:val="28"/>
        </w:rPr>
        <w:t>ФОРМА</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28"/>
          <w:szCs w:val="28"/>
        </w:rPr>
        <w:t>переліку питань для проведення заходів державного нагляду (контролю)</w:t>
      </w:r>
    </w:p>
    <w:p w14:paraId="4AE7B56E" w14:textId="77777777" w:rsidR="0032265E" w:rsidRPr="0032265E" w:rsidRDefault="0032265E" w:rsidP="0032265E">
      <w:pPr>
        <w:shd w:val="clear" w:color="auto" w:fill="FFFFFF"/>
        <w:spacing w:before="150" w:after="150" w:line="240" w:lineRule="auto"/>
        <w:rPr>
          <w:rFonts w:ascii="Times New Roman" w:eastAsia="Times New Roman" w:hAnsi="Times New Roman" w:cs="Times New Roman"/>
          <w:color w:val="333333"/>
          <w:sz w:val="24"/>
          <w:szCs w:val="24"/>
        </w:rPr>
      </w:pPr>
      <w:bookmarkStart w:id="87" w:name="n82"/>
      <w:bookmarkEnd w:id="87"/>
      <w:r w:rsidRPr="0032265E">
        <w:rPr>
          <w:rFonts w:ascii="Times New Roman" w:eastAsia="Times New Roman" w:hAnsi="Times New Roman" w:cs="Times New Roman"/>
          <w:color w:val="333333"/>
          <w:sz w:val="24"/>
          <w:szCs w:val="24"/>
        </w:rPr>
        <w:t>Сфера державного нагляду (контролю) ________________________</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805"/>
        <w:gridCol w:w="1044"/>
        <w:gridCol w:w="959"/>
        <w:gridCol w:w="919"/>
        <w:gridCol w:w="919"/>
        <w:gridCol w:w="777"/>
        <w:gridCol w:w="760"/>
        <w:gridCol w:w="761"/>
        <w:gridCol w:w="835"/>
        <w:gridCol w:w="919"/>
        <w:gridCol w:w="662"/>
      </w:tblGrid>
      <w:tr w:rsidR="0032265E" w:rsidRPr="0032265E" w14:paraId="0FC42B9D" w14:textId="77777777" w:rsidTr="0032265E">
        <w:tc>
          <w:tcPr>
            <w:tcW w:w="870" w:type="dxa"/>
            <w:vMerge w:val="restart"/>
            <w:tcBorders>
              <w:top w:val="single" w:sz="6" w:space="0" w:color="000000"/>
              <w:left w:val="nil"/>
              <w:bottom w:val="single" w:sz="6" w:space="0" w:color="000000"/>
              <w:right w:val="single" w:sz="6" w:space="0" w:color="000000"/>
            </w:tcBorders>
            <w:hideMark/>
          </w:tcPr>
          <w:p w14:paraId="36281514"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bookmarkStart w:id="88" w:name="n83"/>
            <w:bookmarkEnd w:id="88"/>
            <w:r w:rsidRPr="0032265E">
              <w:rPr>
                <w:rFonts w:ascii="Times New Roman" w:eastAsia="Times New Roman" w:hAnsi="Times New Roman" w:cs="Times New Roman"/>
                <w:sz w:val="20"/>
                <w:szCs w:val="20"/>
              </w:rPr>
              <w:t>Порядковий номер</w:t>
            </w:r>
          </w:p>
        </w:tc>
        <w:tc>
          <w:tcPr>
            <w:tcW w:w="1830" w:type="dxa"/>
            <w:vMerge w:val="restart"/>
            <w:tcBorders>
              <w:top w:val="single" w:sz="6" w:space="0" w:color="000000"/>
              <w:left w:val="single" w:sz="6" w:space="0" w:color="000000"/>
              <w:bottom w:val="single" w:sz="6" w:space="0" w:color="000000"/>
              <w:right w:val="single" w:sz="6" w:space="0" w:color="000000"/>
            </w:tcBorders>
            <w:hideMark/>
          </w:tcPr>
          <w:p w14:paraId="3ABD7695"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Вимога законодавства, якої повинні дотримуватися суб’єкти господарювання у відповідній сфері державного нагляду (контролю)</w:t>
            </w:r>
          </w:p>
        </w:tc>
        <w:tc>
          <w:tcPr>
            <w:tcW w:w="1575" w:type="dxa"/>
            <w:vMerge w:val="restart"/>
            <w:tcBorders>
              <w:top w:val="single" w:sz="6" w:space="0" w:color="000000"/>
              <w:left w:val="single" w:sz="6" w:space="0" w:color="000000"/>
              <w:bottom w:val="single" w:sz="6" w:space="0" w:color="000000"/>
              <w:right w:val="single" w:sz="6" w:space="0" w:color="000000"/>
            </w:tcBorders>
            <w:hideMark/>
          </w:tcPr>
          <w:p w14:paraId="117B1590"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Посилання на законодавство, в якому міститься вимога (скорочене найменування, номер акта (документа) та номер статті, її частини, пункту, абзацу)</w:t>
            </w:r>
          </w:p>
        </w:tc>
        <w:tc>
          <w:tcPr>
            <w:tcW w:w="1185" w:type="dxa"/>
            <w:vMerge w:val="restart"/>
            <w:tcBorders>
              <w:top w:val="single" w:sz="6" w:space="0" w:color="000000"/>
              <w:left w:val="single" w:sz="6" w:space="0" w:color="000000"/>
              <w:bottom w:val="single" w:sz="6" w:space="0" w:color="000000"/>
              <w:right w:val="single" w:sz="6" w:space="0" w:color="000000"/>
            </w:tcBorders>
            <w:hideMark/>
          </w:tcPr>
          <w:p w14:paraId="39F6EA36"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Назва об’єкта, на який спрямована вимога законодавства</w:t>
            </w:r>
          </w:p>
        </w:tc>
        <w:tc>
          <w:tcPr>
            <w:tcW w:w="1620" w:type="dxa"/>
            <w:vMerge w:val="restart"/>
            <w:tcBorders>
              <w:top w:val="single" w:sz="6" w:space="0" w:color="000000"/>
              <w:left w:val="single" w:sz="6" w:space="0" w:color="000000"/>
              <w:bottom w:val="single" w:sz="6" w:space="0" w:color="000000"/>
              <w:right w:val="single" w:sz="6" w:space="0" w:color="000000"/>
            </w:tcBorders>
            <w:hideMark/>
          </w:tcPr>
          <w:p w14:paraId="5083FC99"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Діяльність, на яку спрямована вимога законодавства (із зазначенням коду згідно з КВЕД)</w:t>
            </w:r>
          </w:p>
        </w:tc>
        <w:tc>
          <w:tcPr>
            <w:tcW w:w="1260" w:type="dxa"/>
            <w:vMerge w:val="restart"/>
            <w:tcBorders>
              <w:top w:val="single" w:sz="6" w:space="0" w:color="000000"/>
              <w:left w:val="single" w:sz="6" w:space="0" w:color="000000"/>
              <w:bottom w:val="single" w:sz="6" w:space="0" w:color="000000"/>
              <w:right w:val="single" w:sz="6" w:space="0" w:color="000000"/>
            </w:tcBorders>
            <w:hideMark/>
          </w:tcPr>
          <w:p w14:paraId="727E5165"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Код цілі державного нагляду (контролю)</w:t>
            </w:r>
          </w:p>
        </w:tc>
        <w:tc>
          <w:tcPr>
            <w:tcW w:w="2535" w:type="dxa"/>
            <w:gridSpan w:val="2"/>
            <w:tcBorders>
              <w:top w:val="single" w:sz="6" w:space="0" w:color="000000"/>
              <w:left w:val="single" w:sz="6" w:space="0" w:color="000000"/>
              <w:bottom w:val="single" w:sz="6" w:space="0" w:color="000000"/>
              <w:right w:val="single" w:sz="6" w:space="0" w:color="000000"/>
            </w:tcBorders>
            <w:hideMark/>
          </w:tcPr>
          <w:p w14:paraId="73058B65"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Ризик настання негативних наслідків від провадження господарської діяльності</w:t>
            </w:r>
          </w:p>
        </w:tc>
        <w:tc>
          <w:tcPr>
            <w:tcW w:w="1170" w:type="dxa"/>
            <w:vMerge w:val="restart"/>
            <w:tcBorders>
              <w:top w:val="single" w:sz="6" w:space="0" w:color="000000"/>
              <w:left w:val="single" w:sz="6" w:space="0" w:color="000000"/>
              <w:bottom w:val="single" w:sz="6" w:space="0" w:color="000000"/>
              <w:right w:val="single" w:sz="6" w:space="0" w:color="000000"/>
            </w:tcBorders>
            <w:hideMark/>
          </w:tcPr>
          <w:p w14:paraId="36C19DB3"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Ймовірність настання негативних наслідків (від 1 до 4 балів, де 4 найвищий рівень ймовірності)</w:t>
            </w:r>
          </w:p>
        </w:tc>
        <w:tc>
          <w:tcPr>
            <w:tcW w:w="1425" w:type="dxa"/>
            <w:vMerge w:val="restart"/>
            <w:tcBorders>
              <w:top w:val="single" w:sz="6" w:space="0" w:color="000000"/>
              <w:left w:val="single" w:sz="6" w:space="0" w:color="000000"/>
              <w:bottom w:val="single" w:sz="6" w:space="0" w:color="000000"/>
              <w:right w:val="single" w:sz="6" w:space="0" w:color="000000"/>
            </w:tcBorders>
            <w:hideMark/>
          </w:tcPr>
          <w:p w14:paraId="3CCBA72E"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Питання для перевірки дотримання вимоги законодавства (підлягає включенню до переліку питань щодо проведення заходу державного нагляду (контролю)</w:t>
            </w:r>
          </w:p>
        </w:tc>
        <w:tc>
          <w:tcPr>
            <w:tcW w:w="1200" w:type="dxa"/>
            <w:vMerge w:val="restart"/>
            <w:tcBorders>
              <w:top w:val="single" w:sz="6" w:space="0" w:color="000000"/>
              <w:left w:val="single" w:sz="6" w:space="0" w:color="000000"/>
              <w:bottom w:val="single" w:sz="6" w:space="0" w:color="000000"/>
              <w:right w:val="nil"/>
            </w:tcBorders>
            <w:hideMark/>
          </w:tcPr>
          <w:p w14:paraId="6BD970AA"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Примітки</w:t>
            </w:r>
          </w:p>
        </w:tc>
      </w:tr>
      <w:tr w:rsidR="0032265E" w:rsidRPr="0032265E" w14:paraId="27ADFBCB" w14:textId="77777777" w:rsidTr="0032265E">
        <w:tc>
          <w:tcPr>
            <w:tcW w:w="0" w:type="auto"/>
            <w:vMerge/>
            <w:tcBorders>
              <w:top w:val="single" w:sz="6" w:space="0" w:color="000000"/>
              <w:left w:val="nil"/>
              <w:bottom w:val="single" w:sz="6" w:space="0" w:color="000000"/>
              <w:right w:val="single" w:sz="6" w:space="0" w:color="000000"/>
            </w:tcBorders>
            <w:hideMark/>
          </w:tcPr>
          <w:p w14:paraId="73C9D144"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hideMark/>
          </w:tcPr>
          <w:p w14:paraId="206E167D"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hideMark/>
          </w:tcPr>
          <w:p w14:paraId="3A618BC2"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hideMark/>
          </w:tcPr>
          <w:p w14:paraId="4B3B5CDB"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hideMark/>
          </w:tcPr>
          <w:p w14:paraId="3F660D0F"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hideMark/>
          </w:tcPr>
          <w:p w14:paraId="490FC793"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1395" w:type="dxa"/>
            <w:tcBorders>
              <w:top w:val="single" w:sz="6" w:space="0" w:color="000000"/>
              <w:left w:val="single" w:sz="6" w:space="0" w:color="000000"/>
              <w:bottom w:val="single" w:sz="6" w:space="0" w:color="000000"/>
              <w:right w:val="single" w:sz="6" w:space="0" w:color="000000"/>
            </w:tcBorders>
            <w:hideMark/>
          </w:tcPr>
          <w:p w14:paraId="7D68250B"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небезпечна подія, що призводить до настання негативних наслідків</w:t>
            </w:r>
          </w:p>
        </w:tc>
        <w:tc>
          <w:tcPr>
            <w:tcW w:w="1020" w:type="dxa"/>
            <w:tcBorders>
              <w:top w:val="single" w:sz="6" w:space="0" w:color="000000"/>
              <w:left w:val="single" w:sz="6" w:space="0" w:color="000000"/>
              <w:bottom w:val="single" w:sz="6" w:space="0" w:color="000000"/>
              <w:right w:val="single" w:sz="6" w:space="0" w:color="000000"/>
            </w:tcBorders>
            <w:hideMark/>
          </w:tcPr>
          <w:p w14:paraId="1F62249D"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0"/>
                <w:szCs w:val="20"/>
              </w:rPr>
              <w:t>негативний наслідок</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235A34"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83516" w14:textId="77777777" w:rsidR="0032265E" w:rsidRPr="0032265E" w:rsidRDefault="0032265E" w:rsidP="0032265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nil"/>
            </w:tcBorders>
            <w:vAlign w:val="center"/>
            <w:hideMark/>
          </w:tcPr>
          <w:p w14:paraId="43296FAC" w14:textId="77777777" w:rsidR="0032265E" w:rsidRPr="0032265E" w:rsidRDefault="0032265E" w:rsidP="0032265E">
            <w:pPr>
              <w:spacing w:after="0" w:line="240" w:lineRule="auto"/>
              <w:rPr>
                <w:rFonts w:ascii="Times New Roman" w:eastAsia="Times New Roman" w:hAnsi="Times New Roman" w:cs="Times New Roman"/>
                <w:sz w:val="24"/>
                <w:szCs w:val="24"/>
              </w:rPr>
            </w:pPr>
          </w:p>
        </w:tc>
      </w:tr>
    </w:tbl>
    <w:p w14:paraId="58A15A36"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89" w:name="n96"/>
      <w:bookmarkEnd w:id="89"/>
      <w:r w:rsidRPr="0032265E">
        <w:rPr>
          <w:rFonts w:ascii="Times New Roman" w:eastAsia="Times New Roman" w:hAnsi="Times New Roman" w:cs="Times New Roman"/>
          <w:sz w:val="24"/>
          <w:szCs w:val="24"/>
        </w:rPr>
        <w:pict w14:anchorId="1B927569">
          <v:rect id="_x0000_i1030"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351"/>
        <w:gridCol w:w="5003"/>
      </w:tblGrid>
      <w:tr w:rsidR="0032265E" w:rsidRPr="0032265E" w14:paraId="4B1D6B28"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410E9DB0"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90" w:name="n84"/>
            <w:bookmarkEnd w:id="90"/>
          </w:p>
        </w:tc>
        <w:tc>
          <w:tcPr>
            <w:tcW w:w="2300" w:type="pct"/>
            <w:tcBorders>
              <w:top w:val="single" w:sz="2" w:space="0" w:color="auto"/>
              <w:left w:val="single" w:sz="2" w:space="0" w:color="auto"/>
              <w:bottom w:val="single" w:sz="2" w:space="0" w:color="auto"/>
              <w:right w:val="single" w:sz="2" w:space="0" w:color="auto"/>
            </w:tcBorders>
            <w:hideMark/>
          </w:tcPr>
          <w:p w14:paraId="68C43B22"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sz w:val="24"/>
                <w:szCs w:val="24"/>
              </w:rPr>
              <w:t>Додаток 2</w:t>
            </w:r>
            <w:r w:rsidRPr="0032265E">
              <w:rPr>
                <w:rFonts w:ascii="Times New Roman" w:eastAsia="Times New Roman" w:hAnsi="Times New Roman" w:cs="Times New Roman"/>
                <w:sz w:val="24"/>
                <w:szCs w:val="24"/>
              </w:rPr>
              <w:br/>
              <w:t>до Методики розроблення уніфікованих</w:t>
            </w:r>
            <w:r w:rsidRPr="0032265E">
              <w:rPr>
                <w:rFonts w:ascii="Times New Roman" w:eastAsia="Times New Roman" w:hAnsi="Times New Roman" w:cs="Times New Roman"/>
                <w:sz w:val="24"/>
                <w:szCs w:val="24"/>
              </w:rPr>
              <w:br/>
              <w:t>форм актів, що складаються за результатами</w:t>
            </w:r>
            <w:r w:rsidRPr="0032265E">
              <w:rPr>
                <w:rFonts w:ascii="Times New Roman" w:eastAsia="Times New Roman" w:hAnsi="Times New Roman" w:cs="Times New Roman"/>
                <w:sz w:val="24"/>
                <w:szCs w:val="24"/>
              </w:rPr>
              <w:br/>
              <w:t>проведення планових (позапланових)</w:t>
            </w:r>
            <w:r w:rsidRPr="0032265E">
              <w:rPr>
                <w:rFonts w:ascii="Times New Roman" w:eastAsia="Times New Roman" w:hAnsi="Times New Roman" w:cs="Times New Roman"/>
                <w:sz w:val="24"/>
                <w:szCs w:val="24"/>
              </w:rPr>
              <w:br/>
              <w:t>заходів державного нагляду (контролю)</w:t>
            </w:r>
          </w:p>
        </w:tc>
      </w:tr>
    </w:tbl>
    <w:bookmarkStart w:id="91" w:name="n85"/>
    <w:bookmarkEnd w:id="91"/>
    <w:p w14:paraId="42A4B546" w14:textId="77777777" w:rsidR="0032265E" w:rsidRPr="0032265E" w:rsidRDefault="0032265E" w:rsidP="0032265E">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rPr>
      </w:pPr>
      <w:r w:rsidRPr="0032265E">
        <w:rPr>
          <w:rFonts w:ascii="Times New Roman" w:eastAsia="Times New Roman" w:hAnsi="Times New Roman" w:cs="Times New Roman"/>
          <w:color w:val="333333"/>
          <w:sz w:val="24"/>
          <w:szCs w:val="24"/>
        </w:rPr>
        <w:fldChar w:fldCharType="begin"/>
      </w:r>
      <w:r w:rsidRPr="0032265E">
        <w:rPr>
          <w:rFonts w:ascii="Times New Roman" w:eastAsia="Times New Roman" w:hAnsi="Times New Roman" w:cs="Times New Roman"/>
          <w:color w:val="333333"/>
          <w:sz w:val="24"/>
          <w:szCs w:val="24"/>
        </w:rPr>
        <w:instrText xml:space="preserve"> HYPERLINK "https://zakon.rada.gov.ua/laws/file/text/63/f474964n99.doc" </w:instrText>
      </w:r>
      <w:r w:rsidRPr="0032265E">
        <w:rPr>
          <w:rFonts w:ascii="Times New Roman" w:eastAsia="Times New Roman" w:hAnsi="Times New Roman" w:cs="Times New Roman"/>
          <w:color w:val="333333"/>
          <w:sz w:val="24"/>
          <w:szCs w:val="24"/>
        </w:rPr>
        <w:fldChar w:fldCharType="separate"/>
      </w:r>
      <w:r w:rsidRPr="0032265E">
        <w:rPr>
          <w:rFonts w:ascii="Times New Roman" w:eastAsia="Times New Roman" w:hAnsi="Times New Roman" w:cs="Times New Roman"/>
          <w:b/>
          <w:bCs/>
          <w:color w:val="C00909"/>
          <w:sz w:val="28"/>
          <w:szCs w:val="28"/>
          <w:u w:val="single"/>
        </w:rPr>
        <w:t>АКТ</w:t>
      </w:r>
      <w:r w:rsidRPr="0032265E">
        <w:rPr>
          <w:rFonts w:ascii="Times New Roman" w:eastAsia="Times New Roman" w:hAnsi="Times New Roman" w:cs="Times New Roman"/>
          <w:color w:val="333333"/>
          <w:sz w:val="24"/>
          <w:szCs w:val="24"/>
        </w:rPr>
        <w:fldChar w:fldCharType="end"/>
      </w:r>
    </w:p>
    <w:p w14:paraId="43CB0CCE" w14:textId="77777777" w:rsidR="0032265E" w:rsidRPr="0032265E" w:rsidRDefault="0032265E" w:rsidP="0032265E">
      <w:pPr>
        <w:spacing w:after="0" w:line="240" w:lineRule="auto"/>
        <w:rPr>
          <w:rFonts w:ascii="Times New Roman" w:eastAsia="Times New Roman" w:hAnsi="Times New Roman" w:cs="Times New Roman"/>
          <w:sz w:val="24"/>
          <w:szCs w:val="24"/>
        </w:rPr>
      </w:pPr>
      <w:bookmarkStart w:id="92" w:name="n97"/>
      <w:bookmarkEnd w:id="92"/>
      <w:r w:rsidRPr="0032265E">
        <w:rPr>
          <w:rFonts w:ascii="Times New Roman" w:eastAsia="Times New Roman" w:hAnsi="Times New Roman" w:cs="Times New Roman"/>
          <w:sz w:val="24"/>
          <w:szCs w:val="24"/>
        </w:rPr>
        <w:pict w14:anchorId="5CAEFEDB">
          <v:rect id="_x0000_i1031"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2"/>
        <w:gridCol w:w="5612"/>
      </w:tblGrid>
      <w:tr w:rsidR="0032265E" w:rsidRPr="0032265E" w14:paraId="185DADED" w14:textId="77777777" w:rsidTr="0032265E">
        <w:tc>
          <w:tcPr>
            <w:tcW w:w="2000" w:type="pct"/>
            <w:tcBorders>
              <w:top w:val="single" w:sz="2" w:space="0" w:color="auto"/>
              <w:left w:val="single" w:sz="2" w:space="0" w:color="auto"/>
              <w:bottom w:val="single" w:sz="2" w:space="0" w:color="auto"/>
              <w:right w:val="single" w:sz="2" w:space="0" w:color="auto"/>
            </w:tcBorders>
            <w:hideMark/>
          </w:tcPr>
          <w:p w14:paraId="5FB71486" w14:textId="77777777" w:rsidR="0032265E" w:rsidRPr="0032265E" w:rsidRDefault="0032265E" w:rsidP="0032265E">
            <w:pPr>
              <w:spacing w:before="150" w:after="150" w:line="240" w:lineRule="auto"/>
              <w:rPr>
                <w:rFonts w:ascii="Times New Roman" w:eastAsia="Times New Roman" w:hAnsi="Times New Roman" w:cs="Times New Roman"/>
                <w:sz w:val="24"/>
                <w:szCs w:val="24"/>
              </w:rPr>
            </w:pPr>
            <w:bookmarkStart w:id="93" w:name="n86"/>
            <w:bookmarkEnd w:id="93"/>
            <w:r w:rsidRPr="0032265E">
              <w:rPr>
                <w:rFonts w:ascii="Times New Roman" w:eastAsia="Times New Roman" w:hAnsi="Times New Roman" w:cs="Times New Roman"/>
                <w:b/>
                <w:bCs/>
                <w:sz w:val="24"/>
                <w:szCs w:val="24"/>
              </w:rPr>
              <w:lastRenderedPageBreak/>
              <w:br/>
            </w:r>
          </w:p>
        </w:tc>
        <w:tc>
          <w:tcPr>
            <w:tcW w:w="3000" w:type="pct"/>
            <w:tcBorders>
              <w:top w:val="single" w:sz="2" w:space="0" w:color="auto"/>
              <w:left w:val="single" w:sz="2" w:space="0" w:color="auto"/>
              <w:bottom w:val="single" w:sz="2" w:space="0" w:color="auto"/>
              <w:right w:val="single" w:sz="2" w:space="0" w:color="auto"/>
            </w:tcBorders>
            <w:hideMark/>
          </w:tcPr>
          <w:p w14:paraId="0D9B42C8" w14:textId="77777777" w:rsidR="0032265E" w:rsidRPr="0032265E" w:rsidRDefault="0032265E" w:rsidP="0032265E">
            <w:pPr>
              <w:spacing w:before="150" w:after="150" w:line="240" w:lineRule="auto"/>
              <w:jc w:val="center"/>
              <w:rPr>
                <w:rFonts w:ascii="Times New Roman" w:eastAsia="Times New Roman" w:hAnsi="Times New Roman" w:cs="Times New Roman"/>
                <w:sz w:val="24"/>
                <w:szCs w:val="24"/>
              </w:rPr>
            </w:pPr>
            <w:r w:rsidRPr="0032265E">
              <w:rPr>
                <w:rFonts w:ascii="Times New Roman" w:eastAsia="Times New Roman" w:hAnsi="Times New Roman" w:cs="Times New Roman"/>
                <w:b/>
                <w:bCs/>
                <w:sz w:val="24"/>
                <w:szCs w:val="24"/>
              </w:rPr>
              <w:t>ЗАТВЕРДЖЕНО</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постановою Кабінету Міністрів України</w:t>
            </w:r>
            <w:r w:rsidRPr="0032265E">
              <w:rPr>
                <w:rFonts w:ascii="Times New Roman" w:eastAsia="Times New Roman" w:hAnsi="Times New Roman" w:cs="Times New Roman"/>
                <w:sz w:val="24"/>
                <w:szCs w:val="24"/>
              </w:rPr>
              <w:br/>
            </w:r>
            <w:r w:rsidRPr="0032265E">
              <w:rPr>
                <w:rFonts w:ascii="Times New Roman" w:eastAsia="Times New Roman" w:hAnsi="Times New Roman" w:cs="Times New Roman"/>
                <w:b/>
                <w:bCs/>
                <w:sz w:val="24"/>
                <w:szCs w:val="24"/>
              </w:rPr>
              <w:t>від 10 травня 2018 р. № 342</w:t>
            </w:r>
          </w:p>
        </w:tc>
      </w:tr>
    </w:tbl>
    <w:p w14:paraId="5CE62A92" w14:textId="77777777" w:rsidR="0032265E" w:rsidRPr="0032265E" w:rsidRDefault="0032265E" w:rsidP="0032265E">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rPr>
      </w:pPr>
      <w:bookmarkStart w:id="94" w:name="n87"/>
      <w:bookmarkEnd w:id="94"/>
      <w:r w:rsidRPr="0032265E">
        <w:rPr>
          <w:rFonts w:ascii="Times New Roman" w:eastAsia="Times New Roman" w:hAnsi="Times New Roman" w:cs="Times New Roman"/>
          <w:b/>
          <w:bCs/>
          <w:color w:val="333333"/>
          <w:sz w:val="32"/>
          <w:szCs w:val="32"/>
        </w:rPr>
        <w:t>ПЕРЕЛІК</w:t>
      </w:r>
      <w:r w:rsidRPr="0032265E">
        <w:rPr>
          <w:rFonts w:ascii="Times New Roman" w:eastAsia="Times New Roman" w:hAnsi="Times New Roman" w:cs="Times New Roman"/>
          <w:color w:val="333333"/>
          <w:sz w:val="24"/>
          <w:szCs w:val="24"/>
        </w:rPr>
        <w:br/>
      </w:r>
      <w:r w:rsidRPr="0032265E">
        <w:rPr>
          <w:rFonts w:ascii="Times New Roman" w:eastAsia="Times New Roman" w:hAnsi="Times New Roman" w:cs="Times New Roman"/>
          <w:b/>
          <w:bCs/>
          <w:color w:val="333333"/>
          <w:sz w:val="32"/>
          <w:szCs w:val="32"/>
        </w:rPr>
        <w:t>постанов Кабінету Міністрів України, що втратили чинність</w:t>
      </w:r>
    </w:p>
    <w:p w14:paraId="04FC1C34"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95" w:name="n88"/>
      <w:bookmarkEnd w:id="95"/>
      <w:r w:rsidRPr="0032265E">
        <w:rPr>
          <w:rFonts w:ascii="Times New Roman" w:eastAsia="Times New Roman" w:hAnsi="Times New Roman" w:cs="Times New Roman"/>
          <w:color w:val="333333"/>
          <w:sz w:val="24"/>
          <w:szCs w:val="24"/>
        </w:rPr>
        <w:t>1. </w:t>
      </w:r>
      <w:hyperlink r:id="rId16" w:anchor="n3" w:tgtFrame="_blank" w:history="1">
        <w:r w:rsidRPr="0032265E">
          <w:rPr>
            <w:rFonts w:ascii="Times New Roman" w:eastAsia="Times New Roman" w:hAnsi="Times New Roman" w:cs="Times New Roman"/>
            <w:color w:val="000099"/>
            <w:sz w:val="24"/>
            <w:szCs w:val="24"/>
            <w:u w:val="single"/>
          </w:rPr>
          <w:t>Постанова Кабінету Міністрів України від 28 серпня 2013 р. № 752</w:t>
        </w:r>
      </w:hyperlink>
      <w:r w:rsidRPr="0032265E">
        <w:rPr>
          <w:rFonts w:ascii="Times New Roman" w:eastAsia="Times New Roman" w:hAnsi="Times New Roman" w:cs="Times New Roman"/>
          <w:color w:val="333333"/>
          <w:sz w:val="24"/>
          <w:szCs w:val="24"/>
        </w:rPr>
        <w:t> “Про затвердження методик розроблення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 а також уніфікованих форм актів, що складаються за результатами проведення планових (позапланових) заходів державного нагляду (контролю)” (Офіційний вісник України, 2013 р., № 82, ст. 3045).</w:t>
      </w:r>
    </w:p>
    <w:p w14:paraId="56D29F5A"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96" w:name="n89"/>
      <w:bookmarkEnd w:id="96"/>
      <w:r w:rsidRPr="0032265E">
        <w:rPr>
          <w:rFonts w:ascii="Times New Roman" w:eastAsia="Times New Roman" w:hAnsi="Times New Roman" w:cs="Times New Roman"/>
          <w:color w:val="333333"/>
          <w:sz w:val="24"/>
          <w:szCs w:val="24"/>
        </w:rPr>
        <w:t>2. </w:t>
      </w:r>
      <w:hyperlink r:id="rId17" w:anchor="n3" w:tgtFrame="_blank" w:history="1">
        <w:r w:rsidRPr="0032265E">
          <w:rPr>
            <w:rFonts w:ascii="Times New Roman" w:eastAsia="Times New Roman" w:hAnsi="Times New Roman" w:cs="Times New Roman"/>
            <w:color w:val="000099"/>
            <w:sz w:val="24"/>
            <w:szCs w:val="24"/>
            <w:u w:val="single"/>
          </w:rPr>
          <w:t>Постанова Кабінету Міністрів України від 24 травня 2017 р. № 362</w:t>
        </w:r>
      </w:hyperlink>
      <w:r w:rsidRPr="0032265E">
        <w:rPr>
          <w:rFonts w:ascii="Times New Roman" w:eastAsia="Times New Roman" w:hAnsi="Times New Roman" w:cs="Times New Roman"/>
          <w:color w:val="333333"/>
          <w:sz w:val="24"/>
          <w:szCs w:val="24"/>
        </w:rPr>
        <w:t> “Про внесення змін до методик розроблення критеріїв, за якими оцінюється ступінь ризику від провадження господарської діяльності та визначається періодичність проведення планових заходів державного нагляду (контролю), а також уніфікованих форм актів, що складаються за результатами проведення планових (позапланових) заходів державного нагляду (контролю)” (Офіційний вісник України, 2017 р., № 45, ст. 1403).</w:t>
      </w:r>
    </w:p>
    <w:p w14:paraId="69381CD4" w14:textId="77777777" w:rsidR="0032265E" w:rsidRPr="0032265E" w:rsidRDefault="0032265E" w:rsidP="0032265E">
      <w:pPr>
        <w:shd w:val="clear" w:color="auto" w:fill="FFFFFF"/>
        <w:spacing w:after="150" w:line="240" w:lineRule="auto"/>
        <w:ind w:firstLine="450"/>
        <w:jc w:val="both"/>
        <w:rPr>
          <w:rFonts w:ascii="Times New Roman" w:eastAsia="Times New Roman" w:hAnsi="Times New Roman" w:cs="Times New Roman"/>
          <w:color w:val="333333"/>
          <w:sz w:val="24"/>
          <w:szCs w:val="24"/>
        </w:rPr>
      </w:pPr>
      <w:bookmarkStart w:id="97" w:name="n90"/>
      <w:bookmarkEnd w:id="97"/>
      <w:r w:rsidRPr="0032265E">
        <w:rPr>
          <w:rFonts w:ascii="Times New Roman" w:eastAsia="Times New Roman" w:hAnsi="Times New Roman" w:cs="Times New Roman"/>
          <w:color w:val="333333"/>
          <w:sz w:val="24"/>
          <w:szCs w:val="24"/>
        </w:rPr>
        <w:t>3. </w:t>
      </w:r>
      <w:hyperlink r:id="rId18" w:anchor="n146" w:tgtFrame="_blank" w:history="1">
        <w:r w:rsidRPr="0032265E">
          <w:rPr>
            <w:rFonts w:ascii="Times New Roman" w:eastAsia="Times New Roman" w:hAnsi="Times New Roman" w:cs="Times New Roman"/>
            <w:color w:val="000099"/>
            <w:sz w:val="24"/>
            <w:szCs w:val="24"/>
            <w:u w:val="single"/>
          </w:rPr>
          <w:t>Пункт 20</w:t>
        </w:r>
      </w:hyperlink>
      <w:r w:rsidRPr="0032265E">
        <w:rPr>
          <w:rFonts w:ascii="Times New Roman" w:eastAsia="Times New Roman" w:hAnsi="Times New Roman" w:cs="Times New Roman"/>
          <w:color w:val="333333"/>
          <w:sz w:val="24"/>
          <w:szCs w:val="24"/>
        </w:rPr>
        <w:t> змін, що вносяться до постанов Кабінету Міністрів України, затверджених постановою Кабінету Міністрів України від 18 грудня 2017 р. № 1103 (Офіційний вісник України, 2018 р., № 17, ст. 573).</w:t>
      </w:r>
    </w:p>
    <w:p w14:paraId="7B2F5066" w14:textId="77777777" w:rsidR="00171888" w:rsidRDefault="0032265E"/>
    <w:sectPr w:rsidR="00171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CB0"/>
    <w:rsid w:val="001036D5"/>
    <w:rsid w:val="002B7CB0"/>
    <w:rsid w:val="0032265E"/>
    <w:rsid w:val="00BE6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530989-0DAB-4D5C-A465-8D910CF8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57655">
      <w:bodyDiv w:val="1"/>
      <w:marLeft w:val="0"/>
      <w:marRight w:val="0"/>
      <w:marTop w:val="0"/>
      <w:marBottom w:val="0"/>
      <w:divBdr>
        <w:top w:val="none" w:sz="0" w:space="0" w:color="auto"/>
        <w:left w:val="none" w:sz="0" w:space="0" w:color="auto"/>
        <w:bottom w:val="none" w:sz="0" w:space="0" w:color="auto"/>
        <w:right w:val="none" w:sz="0" w:space="0" w:color="auto"/>
      </w:divBdr>
      <w:divsChild>
        <w:div w:id="944580175">
          <w:marLeft w:val="0"/>
          <w:marRight w:val="0"/>
          <w:marTop w:val="0"/>
          <w:marBottom w:val="150"/>
          <w:divBdr>
            <w:top w:val="none" w:sz="0" w:space="0" w:color="auto"/>
            <w:left w:val="none" w:sz="0" w:space="0" w:color="auto"/>
            <w:bottom w:val="none" w:sz="0" w:space="0" w:color="auto"/>
            <w:right w:val="none" w:sz="0" w:space="0" w:color="auto"/>
          </w:divBdr>
        </w:div>
        <w:div w:id="1409763350">
          <w:marLeft w:val="0"/>
          <w:marRight w:val="0"/>
          <w:marTop w:val="0"/>
          <w:marBottom w:val="150"/>
          <w:divBdr>
            <w:top w:val="none" w:sz="0" w:space="0" w:color="auto"/>
            <w:left w:val="none" w:sz="0" w:space="0" w:color="auto"/>
            <w:bottom w:val="none" w:sz="0" w:space="0" w:color="auto"/>
            <w:right w:val="none" w:sz="0" w:space="0" w:color="auto"/>
          </w:divBdr>
        </w:div>
        <w:div w:id="237516662">
          <w:marLeft w:val="0"/>
          <w:marRight w:val="0"/>
          <w:marTop w:val="0"/>
          <w:marBottom w:val="150"/>
          <w:divBdr>
            <w:top w:val="none" w:sz="0" w:space="0" w:color="auto"/>
            <w:left w:val="none" w:sz="0" w:space="0" w:color="auto"/>
            <w:bottom w:val="none" w:sz="0" w:space="0" w:color="auto"/>
            <w:right w:val="none" w:sz="0" w:space="0" w:color="auto"/>
          </w:divBdr>
        </w:div>
        <w:div w:id="1792016739">
          <w:marLeft w:val="0"/>
          <w:marRight w:val="0"/>
          <w:marTop w:val="0"/>
          <w:marBottom w:val="150"/>
          <w:divBdr>
            <w:top w:val="none" w:sz="0" w:space="0" w:color="auto"/>
            <w:left w:val="none" w:sz="0" w:space="0" w:color="auto"/>
            <w:bottom w:val="none" w:sz="0" w:space="0" w:color="auto"/>
            <w:right w:val="none" w:sz="0" w:space="0" w:color="auto"/>
          </w:divBdr>
        </w:div>
        <w:div w:id="1844472761">
          <w:marLeft w:val="0"/>
          <w:marRight w:val="0"/>
          <w:marTop w:val="150"/>
          <w:marBottom w:val="150"/>
          <w:divBdr>
            <w:top w:val="none" w:sz="0" w:space="0" w:color="auto"/>
            <w:left w:val="none" w:sz="0" w:space="0" w:color="auto"/>
            <w:bottom w:val="none" w:sz="0" w:space="0" w:color="auto"/>
            <w:right w:val="none" w:sz="0" w:space="0" w:color="auto"/>
          </w:divBdr>
        </w:div>
        <w:div w:id="593632356">
          <w:marLeft w:val="0"/>
          <w:marRight w:val="0"/>
          <w:marTop w:val="0"/>
          <w:marBottom w:val="150"/>
          <w:divBdr>
            <w:top w:val="none" w:sz="0" w:space="0" w:color="auto"/>
            <w:left w:val="none" w:sz="0" w:space="0" w:color="auto"/>
            <w:bottom w:val="none" w:sz="0" w:space="0" w:color="auto"/>
            <w:right w:val="none" w:sz="0" w:space="0" w:color="auto"/>
          </w:divBdr>
        </w:div>
        <w:div w:id="275137218">
          <w:marLeft w:val="0"/>
          <w:marRight w:val="0"/>
          <w:marTop w:val="150"/>
          <w:marBottom w:val="150"/>
          <w:divBdr>
            <w:top w:val="none" w:sz="0" w:space="0" w:color="auto"/>
            <w:left w:val="none" w:sz="0" w:space="0" w:color="auto"/>
            <w:bottom w:val="none" w:sz="0" w:space="0" w:color="auto"/>
            <w:right w:val="none" w:sz="0" w:space="0" w:color="auto"/>
          </w:divBdr>
        </w:div>
        <w:div w:id="447508440">
          <w:marLeft w:val="0"/>
          <w:marRight w:val="0"/>
          <w:marTop w:val="150"/>
          <w:marBottom w:val="150"/>
          <w:divBdr>
            <w:top w:val="none" w:sz="0" w:space="0" w:color="auto"/>
            <w:left w:val="none" w:sz="0" w:space="0" w:color="auto"/>
            <w:bottom w:val="none" w:sz="0" w:space="0" w:color="auto"/>
            <w:right w:val="none" w:sz="0" w:space="0" w:color="auto"/>
          </w:divBdr>
        </w:div>
        <w:div w:id="1863780994">
          <w:marLeft w:val="0"/>
          <w:marRight w:val="0"/>
          <w:marTop w:val="0"/>
          <w:marBottom w:val="150"/>
          <w:divBdr>
            <w:top w:val="none" w:sz="0" w:space="0" w:color="auto"/>
            <w:left w:val="none" w:sz="0" w:space="0" w:color="auto"/>
            <w:bottom w:val="none" w:sz="0" w:space="0" w:color="auto"/>
            <w:right w:val="none" w:sz="0" w:space="0" w:color="auto"/>
          </w:divBdr>
        </w:div>
        <w:div w:id="271207160">
          <w:marLeft w:val="0"/>
          <w:marRight w:val="0"/>
          <w:marTop w:val="0"/>
          <w:marBottom w:val="150"/>
          <w:divBdr>
            <w:top w:val="none" w:sz="0" w:space="0" w:color="auto"/>
            <w:left w:val="none" w:sz="0" w:space="0" w:color="auto"/>
            <w:bottom w:val="none" w:sz="0" w:space="0" w:color="auto"/>
            <w:right w:val="none" w:sz="0" w:space="0" w:color="auto"/>
          </w:divBdr>
        </w:div>
        <w:div w:id="816533553">
          <w:marLeft w:val="0"/>
          <w:marRight w:val="0"/>
          <w:marTop w:val="150"/>
          <w:marBottom w:val="150"/>
          <w:divBdr>
            <w:top w:val="none" w:sz="0" w:space="0" w:color="auto"/>
            <w:left w:val="none" w:sz="0" w:space="0" w:color="auto"/>
            <w:bottom w:val="none" w:sz="0" w:space="0" w:color="auto"/>
            <w:right w:val="none" w:sz="0" w:space="0" w:color="auto"/>
          </w:divBdr>
        </w:div>
        <w:div w:id="1155026750">
          <w:marLeft w:val="0"/>
          <w:marRight w:val="0"/>
          <w:marTop w:val="0"/>
          <w:marBottom w:val="150"/>
          <w:divBdr>
            <w:top w:val="none" w:sz="0" w:space="0" w:color="auto"/>
            <w:left w:val="none" w:sz="0" w:space="0" w:color="auto"/>
            <w:bottom w:val="none" w:sz="0" w:space="0" w:color="auto"/>
            <w:right w:val="none" w:sz="0" w:space="0" w:color="auto"/>
          </w:divBdr>
        </w:div>
        <w:div w:id="211597343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42-2018-%D0%BF" TargetMode="External"/><Relationship Id="rId13" Type="http://schemas.openxmlformats.org/officeDocument/2006/relationships/hyperlink" Target="https://zakon.rada.gov.ua/laws/show/342-2018-%D0%BF" TargetMode="External"/><Relationship Id="rId18" Type="http://schemas.openxmlformats.org/officeDocument/2006/relationships/hyperlink" Target="https://zakon.rada.gov.ua/laws/show/1103-2017-%D0%BF" TargetMode="External"/><Relationship Id="rId3" Type="http://schemas.openxmlformats.org/officeDocument/2006/relationships/webSettings" Target="webSettings.xml"/><Relationship Id="rId7" Type="http://schemas.openxmlformats.org/officeDocument/2006/relationships/hyperlink" Target="https://zakon.rada.gov.ua/laws/show/464-2018-%D0%BF" TargetMode="External"/><Relationship Id="rId12" Type="http://schemas.openxmlformats.org/officeDocument/2006/relationships/hyperlink" Target="https://zakon.rada.gov.ua/laws/show/342-2018-%D0%BF" TargetMode="External"/><Relationship Id="rId17" Type="http://schemas.openxmlformats.org/officeDocument/2006/relationships/hyperlink" Target="https://zakon.rada.gov.ua/laws/show/362-2017-%D0%BF" TargetMode="External"/><Relationship Id="rId2" Type="http://schemas.openxmlformats.org/officeDocument/2006/relationships/settings" Target="settings.xml"/><Relationship Id="rId16" Type="http://schemas.openxmlformats.org/officeDocument/2006/relationships/hyperlink" Target="https://zakon.rada.gov.ua/laws/show/752-2013-%D0%B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877-16" TargetMode="External"/><Relationship Id="rId11" Type="http://schemas.openxmlformats.org/officeDocument/2006/relationships/hyperlink" Target="https://zakon.rada.gov.ua/laws/show/877-16" TargetMode="External"/><Relationship Id="rId5" Type="http://schemas.openxmlformats.org/officeDocument/2006/relationships/hyperlink" Target="https://zakon.rada.gov.ua/laws/show/464-2018-%D0%BF" TargetMode="External"/><Relationship Id="rId15" Type="http://schemas.openxmlformats.org/officeDocument/2006/relationships/hyperlink" Target="https://zakon.rada.gov.ua/laws/show/342-2018-%D0%BF" TargetMode="External"/><Relationship Id="rId10" Type="http://schemas.openxmlformats.org/officeDocument/2006/relationships/hyperlink" Target="https://zakon.rada.gov.ua/laws/show/342-2018-%D0%BF" TargetMode="External"/><Relationship Id="rId19"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s://zakon.rada.gov.ua/laws/show/342-2018-%D0%BF" TargetMode="External"/><Relationship Id="rId14" Type="http://schemas.openxmlformats.org/officeDocument/2006/relationships/hyperlink" Target="https://zakon.rada.gov.ua/laws/show/342-2018-%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2752</Words>
  <Characters>15691</Characters>
  <Application>Microsoft Office Word</Application>
  <DocSecurity>0</DocSecurity>
  <Lines>130</Lines>
  <Paragraphs>36</Paragraphs>
  <ScaleCrop>false</ScaleCrop>
  <Company/>
  <LinksUpToDate>false</LinksUpToDate>
  <CharactersWithSpaces>18407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Licenz</dc:creator>
  <cp:keywords/>
  <dc:description/>
  <cp:lastModifiedBy>Licenz</cp:lastModifiedBy>
  <cp:revision>2</cp:revision>
  <dcterms:created xsi:type="dcterms:W3CDTF">2022-07-14T11:27:00Z</dcterms:created>
  <dcterms:modified xsi:type="dcterms:W3CDTF">2022-07-14T11:31:00Z</dcterms:modified>
</cp:coreProperties>
</file>